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070"/>
          <w:tab w:val="center" w:pos="4365"/>
        </w:tabs>
        <w:snapToGrid w:val="0"/>
        <w:jc w:val="center"/>
        <w:rPr>
          <w:rFonts w:hint="eastAsia" w:ascii="宋体" w:hAnsi="宋体"/>
          <w:b/>
          <w:color w:val="0000FF"/>
          <w:sz w:val="72"/>
          <w:szCs w:val="72"/>
          <w:lang w:val="en-US" w:eastAsia="zh-CN"/>
        </w:rPr>
      </w:pPr>
      <w:r>
        <w:rPr>
          <w:rFonts w:hint="eastAsia" w:ascii="宋体" w:hAnsi="宋体"/>
          <w:b/>
          <w:sz w:val="72"/>
          <w:szCs w:val="72"/>
        </w:rPr>
        <w:t xml:space="preserve">招 </w:t>
      </w:r>
      <w:r>
        <w:rPr>
          <w:rFonts w:hint="eastAsia" w:ascii="宋体" w:hAnsi="宋体" w:cs="宋体"/>
          <w:b/>
          <w:sz w:val="72"/>
          <w:szCs w:val="72"/>
        </w:rPr>
        <w:t xml:space="preserve">标 </w:t>
      </w:r>
      <w:r>
        <w:rPr>
          <w:rFonts w:hint="eastAsia" w:ascii="宋体" w:hAnsi="宋体"/>
          <w:b/>
          <w:sz w:val="72"/>
          <w:szCs w:val="72"/>
        </w:rPr>
        <w:t>文 件</w:t>
      </w:r>
    </w:p>
    <w:p>
      <w:pPr>
        <w:tabs>
          <w:tab w:val="left" w:pos="2070"/>
          <w:tab w:val="center" w:pos="4365"/>
        </w:tabs>
        <w:snapToGrid w:val="0"/>
        <w:jc w:val="center"/>
        <w:rPr>
          <w:rFonts w:ascii="宋体"/>
          <w:sz w:val="44"/>
          <w:szCs w:val="44"/>
        </w:rPr>
      </w:pPr>
    </w:p>
    <w:p>
      <w:pPr>
        <w:tabs>
          <w:tab w:val="left" w:pos="2070"/>
          <w:tab w:val="center" w:pos="4365"/>
        </w:tabs>
        <w:snapToGrid w:val="0"/>
        <w:jc w:val="center"/>
        <w:rPr>
          <w:rFonts w:ascii="宋体"/>
          <w:sz w:val="44"/>
          <w:szCs w:val="44"/>
        </w:rPr>
      </w:pPr>
    </w:p>
    <w:p>
      <w:pPr>
        <w:tabs>
          <w:tab w:val="left" w:pos="2070"/>
          <w:tab w:val="center" w:pos="4365"/>
        </w:tabs>
        <w:snapToGrid w:val="0"/>
        <w:jc w:val="both"/>
        <w:rPr>
          <w:rFonts w:ascii="宋体"/>
          <w:sz w:val="44"/>
          <w:szCs w:val="44"/>
        </w:rPr>
      </w:pPr>
    </w:p>
    <w:p>
      <w:pPr>
        <w:tabs>
          <w:tab w:val="left" w:pos="2070"/>
          <w:tab w:val="center" w:pos="4365"/>
        </w:tabs>
        <w:snapToGrid w:val="0"/>
        <w:jc w:val="center"/>
        <w:rPr>
          <w:rFonts w:ascii="宋体"/>
          <w:sz w:val="44"/>
          <w:szCs w:val="44"/>
        </w:rPr>
      </w:pPr>
    </w:p>
    <w:p>
      <w:pPr>
        <w:tabs>
          <w:tab w:val="left" w:pos="2070"/>
          <w:tab w:val="center" w:pos="4365"/>
        </w:tabs>
        <w:snapToGrid w:val="0"/>
        <w:jc w:val="center"/>
        <w:rPr>
          <w:rFonts w:ascii="宋体"/>
          <w:sz w:val="44"/>
          <w:szCs w:val="44"/>
        </w:rPr>
      </w:pPr>
    </w:p>
    <w:p>
      <w:pPr>
        <w:widowControl/>
        <w:spacing w:line="560" w:lineRule="atLeast"/>
        <w:rPr>
          <w:rFonts w:ascii="宋体" w:cs="Arial"/>
          <w:kern w:val="0"/>
          <w:sz w:val="28"/>
          <w:szCs w:val="28"/>
        </w:rPr>
      </w:pPr>
      <w:r>
        <w:rPr>
          <w:rFonts w:hint="eastAsia" w:ascii="宋体" w:hAnsi="宋体" w:cs="Arial"/>
          <w:spacing w:val="20"/>
          <w:kern w:val="0"/>
          <w:sz w:val="28"/>
          <w:szCs w:val="28"/>
        </w:rPr>
        <w:t>项目名称：</w:t>
      </w:r>
      <w:r>
        <w:rPr>
          <w:rFonts w:hint="eastAsia" w:ascii="宋体" w:hAnsi="宋体" w:cs="Arial"/>
          <w:spacing w:val="20"/>
          <w:kern w:val="0"/>
          <w:sz w:val="28"/>
          <w:szCs w:val="28"/>
          <w:lang w:eastAsia="zh-CN"/>
        </w:rPr>
        <w:t>阳泉市第十一中学校理化生实验室仪器设备采购项目</w:t>
      </w:r>
      <w:r>
        <w:rPr>
          <w:rFonts w:hint="eastAsia" w:ascii="宋体" w:hAnsi="宋体" w:cs="Arial"/>
          <w:spacing w:val="20"/>
          <w:kern w:val="0"/>
          <w:sz w:val="28"/>
          <w:szCs w:val="28"/>
        </w:rPr>
        <w:t xml:space="preserve">  </w:t>
      </w:r>
    </w:p>
    <w:p>
      <w:pPr>
        <w:widowControl/>
        <w:wordWrap w:val="0"/>
        <w:spacing w:line="520" w:lineRule="atLeast"/>
        <w:rPr>
          <w:rFonts w:hint="eastAsia" w:ascii="宋体" w:hAnsi="宋体" w:cs="Arial"/>
          <w:color w:val="000000"/>
          <w:spacing w:val="20"/>
          <w:kern w:val="0"/>
          <w:sz w:val="28"/>
          <w:szCs w:val="28"/>
          <w:lang w:eastAsia="zh-CN"/>
        </w:rPr>
      </w:pPr>
      <w:r>
        <w:rPr>
          <w:rFonts w:hint="eastAsia" w:ascii="宋体" w:hAnsi="宋体" w:cs="Arial"/>
          <w:spacing w:val="20"/>
          <w:kern w:val="0"/>
          <w:sz w:val="28"/>
          <w:szCs w:val="28"/>
        </w:rPr>
        <w:t>项目编号：</w:t>
      </w:r>
      <w:r>
        <w:rPr>
          <w:rFonts w:hint="eastAsia" w:ascii="宋体" w:hAnsi="宋体" w:cs="Arial"/>
          <w:color w:val="000000"/>
          <w:spacing w:val="20"/>
          <w:kern w:val="0"/>
          <w:sz w:val="28"/>
          <w:szCs w:val="28"/>
          <w:lang w:eastAsia="zh-CN"/>
        </w:rPr>
        <w:t>1403992024AGK00009</w:t>
      </w:r>
    </w:p>
    <w:p>
      <w:pPr>
        <w:widowControl/>
        <w:wordWrap w:val="0"/>
        <w:spacing w:line="520" w:lineRule="atLeast"/>
        <w:rPr>
          <w:rFonts w:hint="eastAsia" w:ascii="宋体" w:hAnsi="宋体" w:cs="Arial"/>
          <w:spacing w:val="20"/>
          <w:kern w:val="0"/>
          <w:sz w:val="28"/>
          <w:szCs w:val="28"/>
          <w:lang w:eastAsia="zh-CN"/>
        </w:rPr>
      </w:pPr>
      <w:r>
        <w:rPr>
          <w:rFonts w:hint="eastAsia" w:ascii="宋体" w:hAnsi="宋体" w:cs="Arial"/>
          <w:spacing w:val="20"/>
          <w:kern w:val="0"/>
          <w:sz w:val="28"/>
          <w:szCs w:val="28"/>
        </w:rPr>
        <w:t>采 购 人：</w:t>
      </w:r>
      <w:r>
        <w:rPr>
          <w:rFonts w:hint="eastAsia" w:ascii="宋体" w:hAnsi="宋体" w:cs="Arial"/>
          <w:spacing w:val="20"/>
          <w:kern w:val="0"/>
          <w:sz w:val="28"/>
          <w:szCs w:val="28"/>
          <w:lang w:eastAsia="zh-CN"/>
        </w:rPr>
        <w:t>阳泉市第十一中学校高中部</w:t>
      </w:r>
    </w:p>
    <w:p>
      <w:pPr>
        <w:widowControl/>
        <w:wordWrap w:val="0"/>
        <w:spacing w:line="520" w:lineRule="atLeast"/>
        <w:rPr>
          <w:rFonts w:hint="eastAsia" w:ascii="宋体" w:eastAsia="宋体" w:cs="Arial"/>
          <w:spacing w:val="20"/>
          <w:kern w:val="0"/>
          <w:sz w:val="28"/>
          <w:szCs w:val="28"/>
          <w:lang w:eastAsia="zh-CN"/>
        </w:rPr>
      </w:pPr>
      <w:r>
        <w:rPr>
          <w:rFonts w:hint="eastAsia" w:ascii="宋体" w:hAnsi="宋体" w:cs="Arial"/>
          <w:spacing w:val="20"/>
          <w:kern w:val="0"/>
          <w:sz w:val="28"/>
          <w:szCs w:val="28"/>
        </w:rPr>
        <w:t>采购代理机构（集中采购机构）：</w:t>
      </w:r>
      <w:r>
        <w:rPr>
          <w:rFonts w:hint="eastAsia" w:ascii="宋体" w:hAnsi="宋体" w:cs="Arial"/>
          <w:kern w:val="0"/>
          <w:sz w:val="28"/>
          <w:szCs w:val="28"/>
          <w:lang w:eastAsia="zh-CN"/>
        </w:rPr>
        <w:t>阳泉市公共资源交易中心（阳泉市政府采购中心）</w:t>
      </w:r>
    </w:p>
    <w:p>
      <w:pPr>
        <w:widowControl/>
        <w:wordWrap w:val="0"/>
        <w:spacing w:line="520" w:lineRule="atLeast"/>
        <w:jc w:val="center"/>
        <w:rPr>
          <w:rFonts w:ascii="宋体" w:cs="Arial"/>
          <w:kern w:val="0"/>
          <w:sz w:val="18"/>
          <w:szCs w:val="18"/>
        </w:rPr>
      </w:pPr>
    </w:p>
    <w:p>
      <w:pPr>
        <w:widowControl/>
        <w:wordWrap w:val="0"/>
        <w:spacing w:line="520" w:lineRule="atLeast"/>
        <w:jc w:val="center"/>
        <w:rPr>
          <w:rFonts w:ascii="宋体" w:cs="Arial"/>
          <w:kern w:val="0"/>
          <w:sz w:val="18"/>
          <w:szCs w:val="18"/>
        </w:rPr>
      </w:pPr>
    </w:p>
    <w:p>
      <w:pPr>
        <w:widowControl/>
        <w:wordWrap w:val="0"/>
        <w:spacing w:line="520" w:lineRule="atLeast"/>
        <w:jc w:val="center"/>
        <w:rPr>
          <w:rFonts w:ascii="宋体" w:cs="Arial"/>
          <w:kern w:val="0"/>
          <w:sz w:val="18"/>
          <w:szCs w:val="18"/>
        </w:rPr>
      </w:pPr>
    </w:p>
    <w:p>
      <w:pPr>
        <w:pStyle w:val="19"/>
        <w:rPr>
          <w:rFonts w:ascii="宋体" w:cs="Arial"/>
          <w:kern w:val="0"/>
          <w:sz w:val="18"/>
          <w:szCs w:val="18"/>
        </w:rPr>
      </w:pPr>
    </w:p>
    <w:p>
      <w:pPr>
        <w:rPr>
          <w:rFonts w:ascii="宋体" w:cs="Arial"/>
          <w:kern w:val="0"/>
          <w:sz w:val="18"/>
          <w:szCs w:val="18"/>
        </w:rPr>
      </w:pPr>
    </w:p>
    <w:p>
      <w:pPr>
        <w:pStyle w:val="19"/>
        <w:rPr>
          <w:rFonts w:ascii="宋体" w:cs="Arial"/>
          <w:kern w:val="0"/>
          <w:sz w:val="18"/>
          <w:szCs w:val="18"/>
        </w:rPr>
      </w:pPr>
    </w:p>
    <w:p>
      <w:pPr>
        <w:rPr>
          <w:rFonts w:ascii="宋体" w:cs="Arial"/>
          <w:kern w:val="0"/>
          <w:sz w:val="18"/>
          <w:szCs w:val="18"/>
        </w:rPr>
      </w:pPr>
    </w:p>
    <w:p>
      <w:pPr>
        <w:pStyle w:val="19"/>
      </w:pPr>
    </w:p>
    <w:p>
      <w:pPr>
        <w:widowControl/>
        <w:spacing w:line="520" w:lineRule="atLeast"/>
        <w:jc w:val="center"/>
        <w:rPr>
          <w:rFonts w:ascii="宋体" w:cs="Arial"/>
          <w:spacing w:val="20"/>
          <w:kern w:val="0"/>
          <w:sz w:val="32"/>
          <w:szCs w:val="32"/>
        </w:rPr>
      </w:pPr>
      <w:r>
        <w:rPr>
          <w:rFonts w:hint="eastAsia" w:ascii="宋体" w:hAnsi="宋体" w:cs="Arial"/>
          <w:spacing w:val="20"/>
          <w:kern w:val="0"/>
          <w:sz w:val="32"/>
          <w:szCs w:val="32"/>
        </w:rPr>
        <w:t>二〇二</w:t>
      </w:r>
      <w:r>
        <w:rPr>
          <w:rFonts w:hint="eastAsia" w:ascii="宋体" w:hAnsi="宋体" w:cs="Arial"/>
          <w:spacing w:val="20"/>
          <w:kern w:val="0"/>
          <w:sz w:val="32"/>
          <w:szCs w:val="32"/>
          <w:lang w:eastAsia="zh-CN"/>
        </w:rPr>
        <w:t>四</w:t>
      </w:r>
      <w:r>
        <w:rPr>
          <w:rFonts w:hint="eastAsia" w:ascii="宋体" w:hAnsi="宋体" w:cs="Arial"/>
          <w:spacing w:val="20"/>
          <w:kern w:val="0"/>
          <w:sz w:val="32"/>
          <w:szCs w:val="32"/>
        </w:rPr>
        <w:t>年</w:t>
      </w:r>
      <w:r>
        <w:rPr>
          <w:rFonts w:hint="eastAsia" w:ascii="宋体" w:hAnsi="宋体" w:cs="Arial"/>
          <w:spacing w:val="20"/>
          <w:kern w:val="0"/>
          <w:sz w:val="32"/>
          <w:szCs w:val="32"/>
          <w:lang w:eastAsia="zh-CN"/>
        </w:rPr>
        <w:t>三</w:t>
      </w:r>
      <w:r>
        <w:rPr>
          <w:rFonts w:hint="eastAsia" w:ascii="宋体" w:hAnsi="宋体" w:cs="Arial"/>
          <w:spacing w:val="20"/>
          <w:kern w:val="0"/>
          <w:sz w:val="32"/>
          <w:szCs w:val="32"/>
        </w:rPr>
        <w:t>月</w:t>
      </w:r>
    </w:p>
    <w:p>
      <w:pPr>
        <w:tabs>
          <w:tab w:val="left" w:pos="2070"/>
          <w:tab w:val="center" w:pos="4365"/>
        </w:tabs>
        <w:snapToGrid w:val="0"/>
        <w:jc w:val="center"/>
        <w:rPr>
          <w:rFonts w:ascii="华文中宋" w:hAnsi="华文中宋" w:eastAsia="华文中宋"/>
          <w:sz w:val="44"/>
          <w:szCs w:val="44"/>
        </w:rPr>
      </w:pPr>
    </w:p>
    <w:p>
      <w:pPr>
        <w:tabs>
          <w:tab w:val="left" w:pos="2070"/>
          <w:tab w:val="center" w:pos="4365"/>
        </w:tabs>
        <w:snapToGrid w:val="0"/>
        <w:jc w:val="both"/>
        <w:rPr>
          <w:rFonts w:ascii="华文中宋" w:hAnsi="华文中宋" w:eastAsia="华文中宋"/>
          <w:sz w:val="44"/>
          <w:szCs w:val="44"/>
        </w:rPr>
      </w:pPr>
    </w:p>
    <w:p>
      <w:pPr>
        <w:pStyle w:val="3"/>
        <w:rPr>
          <w:rFonts w:ascii="华文中宋" w:hAnsi="华文中宋" w:eastAsia="华文中宋"/>
          <w:sz w:val="44"/>
          <w:szCs w:val="44"/>
        </w:rPr>
      </w:pPr>
    </w:p>
    <w:p>
      <w:pPr>
        <w:pStyle w:val="3"/>
        <w:rPr>
          <w:rFonts w:ascii="华文中宋" w:hAnsi="华文中宋" w:eastAsia="华文中宋"/>
          <w:sz w:val="44"/>
          <w:szCs w:val="44"/>
        </w:rPr>
      </w:pPr>
    </w:p>
    <w:p>
      <w:pPr>
        <w:pStyle w:val="2"/>
        <w:rPr>
          <w:rFonts w:ascii="华文中宋" w:hAnsi="华文中宋" w:eastAsia="华文中宋"/>
          <w:sz w:val="44"/>
          <w:szCs w:val="44"/>
        </w:rPr>
      </w:pPr>
    </w:p>
    <w:p>
      <w:pPr>
        <w:rPr>
          <w:rFonts w:ascii="华文中宋" w:hAnsi="华文中宋" w:eastAsia="华文中宋"/>
          <w:sz w:val="44"/>
          <w:szCs w:val="44"/>
        </w:rPr>
      </w:pPr>
    </w:p>
    <w:p>
      <w:pPr>
        <w:pStyle w:val="2"/>
      </w:pPr>
    </w:p>
    <w:p/>
    <w:p>
      <w:pPr>
        <w:tabs>
          <w:tab w:val="left" w:pos="2070"/>
          <w:tab w:val="center" w:pos="4365"/>
        </w:tabs>
        <w:snapToGrid w:val="0"/>
        <w:jc w:val="center"/>
        <w:rPr>
          <w:rFonts w:ascii="华文中宋" w:hAnsi="华文中宋" w:eastAsia="华文中宋"/>
          <w:sz w:val="28"/>
          <w:szCs w:val="28"/>
        </w:rPr>
      </w:pPr>
      <w:r>
        <w:rPr>
          <w:rFonts w:hint="eastAsia" w:ascii="华文中宋" w:hAnsi="华文中宋" w:eastAsia="华文中宋"/>
          <w:sz w:val="28"/>
          <w:szCs w:val="28"/>
        </w:rPr>
        <w:t xml:space="preserve">目      </w:t>
      </w:r>
      <w:r>
        <w:rPr>
          <w:rFonts w:hint="eastAsia" w:ascii="宋体" w:hAnsi="宋体" w:cs="宋体"/>
          <w:sz w:val="28"/>
          <w:szCs w:val="28"/>
        </w:rPr>
        <w:t>录</w:t>
      </w:r>
    </w:p>
    <w:p>
      <w:pPr>
        <w:pStyle w:val="42"/>
        <w:tabs>
          <w:tab w:val="right" w:leader="dot" w:pos="9638"/>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TOC \o "1-3" \h \z \u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"file:///C:\\Users\\admin\\AppData\\Local\\Temp\\1B856F57-3469-4173-929F-9F7D25214784\\4028e4085948a8080159493ffb710096\\zbwj.doc" \l "_Toc10642" </w:instrText>
      </w:r>
      <w:r>
        <w:rPr>
          <w:rFonts w:hint="eastAsia" w:asciiTheme="minorEastAsia" w:hAnsiTheme="minorEastAsia" w:eastAsiaTheme="minorEastAsia" w:cstheme="minorEastAsia"/>
          <w:sz w:val="21"/>
          <w:szCs w:val="21"/>
        </w:rPr>
        <w:fldChar w:fldCharType="separate"/>
      </w:r>
      <w:r>
        <w:rPr>
          <w:rStyle w:val="63"/>
          <w:rFonts w:hint="eastAsia" w:asciiTheme="minorEastAsia" w:hAnsiTheme="minorEastAsia" w:eastAsiaTheme="minorEastAsia" w:cstheme="minorEastAsia"/>
          <w:spacing w:val="20"/>
          <w:kern w:val="44"/>
          <w:sz w:val="21"/>
          <w:szCs w:val="21"/>
        </w:rPr>
        <w:t>第一部分  投标邀请</w:t>
      </w:r>
      <w:r>
        <w:rPr>
          <w:rStyle w:val="63"/>
          <w:rFonts w:hint="eastAsia" w:asciiTheme="minorEastAsia" w:hAnsiTheme="minorEastAsia" w:eastAsiaTheme="minorEastAsia" w:cstheme="minorEastAsia"/>
          <w:sz w:val="21"/>
          <w:szCs w:val="21"/>
        </w:rPr>
        <w:tab/>
      </w:r>
      <w:r>
        <w:rPr>
          <w:rStyle w:val="63"/>
          <w:rFonts w:hint="eastAsia" w:asciiTheme="minorEastAsia" w:hAnsiTheme="minorEastAsia" w:eastAsiaTheme="minorEastAsia" w:cstheme="minorEastAsia"/>
          <w:sz w:val="21"/>
          <w:szCs w:val="21"/>
        </w:rPr>
        <w:fldChar w:fldCharType="end"/>
      </w:r>
    </w:p>
    <w:p>
      <w:pPr>
        <w:pStyle w:val="42"/>
        <w:tabs>
          <w:tab w:val="right" w:leader="dot" w:pos="9638"/>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"file:///C:\\Users\\admin\\AppData\\Local\\Temp\\1B856F57-3469-4173-929F-9F7D25214784\\4028e4085948a8080159493ffb710096\\zbwj.doc" \l "_Toc3746" </w:instrText>
      </w:r>
      <w:r>
        <w:rPr>
          <w:rFonts w:hint="eastAsia" w:asciiTheme="minorEastAsia" w:hAnsiTheme="minorEastAsia" w:eastAsiaTheme="minorEastAsia" w:cstheme="minorEastAsia"/>
          <w:sz w:val="21"/>
          <w:szCs w:val="21"/>
        </w:rPr>
        <w:fldChar w:fldCharType="separate"/>
      </w:r>
      <w:r>
        <w:rPr>
          <w:rStyle w:val="63"/>
          <w:rFonts w:hint="eastAsia" w:asciiTheme="minorEastAsia" w:hAnsiTheme="minorEastAsia" w:eastAsiaTheme="minorEastAsia" w:cstheme="minorEastAsia"/>
          <w:kern w:val="44"/>
          <w:sz w:val="21"/>
          <w:szCs w:val="21"/>
        </w:rPr>
        <w:t>第二部分投标人须知前附表</w:t>
      </w:r>
      <w:r>
        <w:rPr>
          <w:rStyle w:val="63"/>
          <w:rFonts w:hint="eastAsia" w:asciiTheme="minorEastAsia" w:hAnsiTheme="minorEastAsia" w:eastAsiaTheme="minorEastAsia" w:cstheme="minorEastAsia"/>
          <w:sz w:val="21"/>
          <w:szCs w:val="21"/>
        </w:rPr>
        <w:tab/>
      </w:r>
      <w:r>
        <w:rPr>
          <w:rStyle w:val="63"/>
          <w:rFonts w:hint="eastAsia" w:asciiTheme="minorEastAsia" w:hAnsiTheme="minorEastAsia" w:eastAsiaTheme="minorEastAsia" w:cstheme="minorEastAsia"/>
          <w:sz w:val="21"/>
          <w:szCs w:val="21"/>
        </w:rPr>
        <w:fldChar w:fldCharType="end"/>
      </w:r>
    </w:p>
    <w:p>
      <w:pPr>
        <w:pStyle w:val="42"/>
        <w:tabs>
          <w:tab w:val="right" w:leader="dot" w:pos="9638"/>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"file:///C:\\Users\\admin\\AppData\\Local\\Temp\\1B856F57-3469-4173-929F-9F7D25214784\\4028e4085948a8080159493ffb710096\\zbwj.doc" \l "_Toc10473" </w:instrText>
      </w:r>
      <w:r>
        <w:rPr>
          <w:rFonts w:hint="eastAsia" w:asciiTheme="minorEastAsia" w:hAnsiTheme="minorEastAsia" w:eastAsiaTheme="minorEastAsia" w:cstheme="minorEastAsia"/>
          <w:sz w:val="21"/>
          <w:szCs w:val="21"/>
        </w:rPr>
        <w:fldChar w:fldCharType="separate"/>
      </w:r>
      <w:r>
        <w:rPr>
          <w:rStyle w:val="63"/>
          <w:rFonts w:hint="eastAsia" w:asciiTheme="minorEastAsia" w:hAnsiTheme="minorEastAsia" w:eastAsiaTheme="minorEastAsia" w:cstheme="minorEastAsia"/>
          <w:sz w:val="21"/>
          <w:szCs w:val="21"/>
        </w:rPr>
        <w:t>第三部分投标人须知</w:t>
      </w:r>
      <w:r>
        <w:rPr>
          <w:rStyle w:val="63"/>
          <w:rFonts w:hint="eastAsia" w:asciiTheme="minorEastAsia" w:hAnsiTheme="minorEastAsia" w:eastAsiaTheme="minorEastAsia" w:cstheme="minorEastAsia"/>
          <w:sz w:val="21"/>
          <w:szCs w:val="21"/>
        </w:rPr>
        <w:tab/>
      </w:r>
      <w:r>
        <w:rPr>
          <w:rStyle w:val="63"/>
          <w:rFonts w:hint="eastAsia" w:asciiTheme="minorEastAsia" w:hAnsiTheme="minorEastAsia" w:eastAsiaTheme="minorEastAsia" w:cstheme="minorEastAsia"/>
          <w:sz w:val="21"/>
          <w:szCs w:val="21"/>
        </w:rPr>
        <w:fldChar w:fldCharType="end"/>
      </w:r>
    </w:p>
    <w:p>
      <w:pPr>
        <w:pStyle w:val="50"/>
        <w:tabs>
          <w:tab w:val="right" w:leader="dot" w:pos="9638"/>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"file:///C:\\Users\\admin\\AppData\\Local\\Temp\\1B856F57-3469-4173-929F-9F7D25214784\\4028e4085948a8080159493ffb710096\\zbwj.doc" \l "_Toc18593" </w:instrText>
      </w:r>
      <w:r>
        <w:rPr>
          <w:rFonts w:hint="eastAsia" w:asciiTheme="minorEastAsia" w:hAnsiTheme="minorEastAsia" w:eastAsiaTheme="minorEastAsia" w:cstheme="minorEastAsia"/>
          <w:sz w:val="21"/>
          <w:szCs w:val="21"/>
        </w:rPr>
        <w:fldChar w:fldCharType="separate"/>
      </w:r>
      <w:r>
        <w:rPr>
          <w:rStyle w:val="63"/>
          <w:rFonts w:hint="eastAsia" w:asciiTheme="minorEastAsia" w:hAnsiTheme="minorEastAsia" w:eastAsiaTheme="minorEastAsia" w:cstheme="minorEastAsia"/>
          <w:bCs/>
          <w:spacing w:val="10"/>
          <w:kern w:val="0"/>
          <w:sz w:val="21"/>
          <w:szCs w:val="21"/>
        </w:rPr>
        <w:t>一、总则</w:t>
      </w:r>
      <w:r>
        <w:rPr>
          <w:rStyle w:val="63"/>
          <w:rFonts w:hint="eastAsia" w:asciiTheme="minorEastAsia" w:hAnsiTheme="minorEastAsia" w:eastAsiaTheme="minorEastAsia" w:cstheme="minorEastAsia"/>
          <w:sz w:val="21"/>
          <w:szCs w:val="21"/>
        </w:rPr>
        <w:tab/>
      </w:r>
      <w:r>
        <w:rPr>
          <w:rStyle w:val="63"/>
          <w:rFonts w:hint="eastAsia" w:asciiTheme="minorEastAsia" w:hAnsiTheme="minorEastAsia" w:eastAsiaTheme="minorEastAsia" w:cstheme="minorEastAsia"/>
          <w:sz w:val="21"/>
          <w:szCs w:val="21"/>
        </w:rPr>
        <w:fldChar w:fldCharType="end"/>
      </w:r>
    </w:p>
    <w:p>
      <w:pPr>
        <w:pStyle w:val="50"/>
        <w:tabs>
          <w:tab w:val="right" w:leader="dot" w:pos="9638"/>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"file:///C:\\Users\\admin\\AppData\\Local\\Temp\\1B856F57-3469-4173-929F-9F7D25214784\\4028e4085948a8080159493ffb710096\\zbwj.doc" \l "_Toc31999" </w:instrText>
      </w:r>
      <w:r>
        <w:rPr>
          <w:rFonts w:hint="eastAsia" w:asciiTheme="minorEastAsia" w:hAnsiTheme="minorEastAsia" w:eastAsiaTheme="minorEastAsia" w:cstheme="minorEastAsia"/>
          <w:sz w:val="21"/>
          <w:szCs w:val="21"/>
        </w:rPr>
        <w:fldChar w:fldCharType="separate"/>
      </w:r>
      <w:r>
        <w:rPr>
          <w:rStyle w:val="63"/>
          <w:rFonts w:hint="eastAsia" w:asciiTheme="minorEastAsia" w:hAnsiTheme="minorEastAsia" w:eastAsiaTheme="minorEastAsia" w:cstheme="minorEastAsia"/>
          <w:kern w:val="0"/>
          <w:sz w:val="21"/>
          <w:szCs w:val="21"/>
        </w:rPr>
        <w:t>二、招标文件</w:t>
      </w:r>
      <w:r>
        <w:rPr>
          <w:rStyle w:val="63"/>
          <w:rFonts w:hint="eastAsia" w:asciiTheme="minorEastAsia" w:hAnsiTheme="minorEastAsia" w:eastAsiaTheme="minorEastAsia" w:cstheme="minorEastAsia"/>
          <w:sz w:val="21"/>
          <w:szCs w:val="21"/>
        </w:rPr>
        <w:tab/>
      </w:r>
      <w:r>
        <w:rPr>
          <w:rStyle w:val="63"/>
          <w:rFonts w:hint="eastAsia" w:asciiTheme="minorEastAsia" w:hAnsiTheme="minorEastAsia" w:eastAsiaTheme="minorEastAsia" w:cstheme="minorEastAsia"/>
          <w:sz w:val="21"/>
          <w:szCs w:val="21"/>
        </w:rPr>
        <w:fldChar w:fldCharType="end"/>
      </w:r>
    </w:p>
    <w:p>
      <w:pPr>
        <w:pStyle w:val="50"/>
        <w:tabs>
          <w:tab w:val="right" w:leader="dot" w:pos="9638"/>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"file:///C:\\Users\\admin\\AppData\\Local\\Temp\\1B856F57-3469-4173-929F-9F7D25214784\\4028e4085948a8080159493ffb710096\\zbwj.doc" \l "_Toc18372" </w:instrText>
      </w:r>
      <w:r>
        <w:rPr>
          <w:rFonts w:hint="eastAsia" w:asciiTheme="minorEastAsia" w:hAnsiTheme="minorEastAsia" w:eastAsiaTheme="minorEastAsia" w:cstheme="minorEastAsia"/>
          <w:sz w:val="21"/>
          <w:szCs w:val="21"/>
        </w:rPr>
        <w:fldChar w:fldCharType="separate"/>
      </w:r>
      <w:r>
        <w:rPr>
          <w:rStyle w:val="63"/>
          <w:rFonts w:hint="eastAsia" w:asciiTheme="minorEastAsia" w:hAnsiTheme="minorEastAsia" w:eastAsiaTheme="minorEastAsia" w:cstheme="minorEastAsia"/>
          <w:kern w:val="0"/>
          <w:sz w:val="21"/>
          <w:szCs w:val="21"/>
        </w:rPr>
        <w:t>三、投标文件</w:t>
      </w:r>
      <w:r>
        <w:rPr>
          <w:rStyle w:val="63"/>
          <w:rFonts w:hint="eastAsia" w:asciiTheme="minorEastAsia" w:hAnsiTheme="minorEastAsia" w:eastAsiaTheme="minorEastAsia" w:cstheme="minorEastAsia"/>
          <w:sz w:val="21"/>
          <w:szCs w:val="21"/>
        </w:rPr>
        <w:tab/>
      </w:r>
      <w:r>
        <w:rPr>
          <w:rStyle w:val="63"/>
          <w:rFonts w:hint="eastAsia" w:asciiTheme="minorEastAsia" w:hAnsiTheme="minorEastAsia" w:eastAsiaTheme="minorEastAsia" w:cstheme="minorEastAsia"/>
          <w:sz w:val="21"/>
          <w:szCs w:val="21"/>
        </w:rPr>
        <w:fldChar w:fldCharType="end"/>
      </w:r>
    </w:p>
    <w:p>
      <w:pPr>
        <w:pStyle w:val="50"/>
        <w:tabs>
          <w:tab w:val="right" w:leader="dot" w:pos="9638"/>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"file:///C:\\Users\\admin\\AppData\\Local\\Temp\\1B856F57-3469-4173-929F-9F7D25214784\\4028e4085948a8080159493ffb710096\\zbwj.doc" \l "_Toc2185" </w:instrText>
      </w:r>
      <w:r>
        <w:rPr>
          <w:rFonts w:hint="eastAsia" w:asciiTheme="minorEastAsia" w:hAnsiTheme="minorEastAsia" w:eastAsiaTheme="minorEastAsia" w:cstheme="minorEastAsia"/>
          <w:sz w:val="21"/>
          <w:szCs w:val="21"/>
        </w:rPr>
        <w:fldChar w:fldCharType="separate"/>
      </w:r>
      <w:r>
        <w:rPr>
          <w:rStyle w:val="63"/>
          <w:rFonts w:hint="eastAsia" w:asciiTheme="minorEastAsia" w:hAnsiTheme="minorEastAsia" w:eastAsiaTheme="minorEastAsia" w:cstheme="minorEastAsia"/>
          <w:kern w:val="0"/>
          <w:sz w:val="21"/>
          <w:szCs w:val="21"/>
        </w:rPr>
        <w:t>四、投标文件的递交</w:t>
      </w:r>
      <w:r>
        <w:rPr>
          <w:rStyle w:val="63"/>
          <w:rFonts w:hint="eastAsia" w:asciiTheme="minorEastAsia" w:hAnsiTheme="minorEastAsia" w:eastAsiaTheme="minorEastAsia" w:cstheme="minorEastAsia"/>
          <w:sz w:val="21"/>
          <w:szCs w:val="21"/>
        </w:rPr>
        <w:tab/>
      </w:r>
      <w:r>
        <w:rPr>
          <w:rStyle w:val="63"/>
          <w:rFonts w:hint="eastAsia" w:asciiTheme="minorEastAsia" w:hAnsiTheme="minorEastAsia" w:eastAsiaTheme="minorEastAsia" w:cstheme="minorEastAsia"/>
          <w:sz w:val="21"/>
          <w:szCs w:val="21"/>
        </w:rPr>
        <w:fldChar w:fldCharType="end"/>
      </w:r>
    </w:p>
    <w:p>
      <w:pPr>
        <w:pStyle w:val="50"/>
        <w:tabs>
          <w:tab w:val="right" w:leader="dot" w:pos="9638"/>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"file:///C:\\Users\\admin\\AppData\\Local\\Temp\\1B856F57-3469-4173-929F-9F7D25214784\\4028e4085948a8080159493ffb710096\\zbwj.doc" \l "_Toc6381" </w:instrText>
      </w:r>
      <w:r>
        <w:rPr>
          <w:rFonts w:hint="eastAsia" w:asciiTheme="minorEastAsia" w:hAnsiTheme="minorEastAsia" w:eastAsiaTheme="minorEastAsia" w:cstheme="minorEastAsia"/>
          <w:sz w:val="21"/>
          <w:szCs w:val="21"/>
        </w:rPr>
        <w:fldChar w:fldCharType="separate"/>
      </w:r>
      <w:r>
        <w:rPr>
          <w:rStyle w:val="63"/>
          <w:rFonts w:hint="eastAsia" w:asciiTheme="minorEastAsia" w:hAnsiTheme="minorEastAsia" w:eastAsiaTheme="minorEastAsia" w:cstheme="minorEastAsia"/>
          <w:kern w:val="0"/>
          <w:sz w:val="21"/>
          <w:szCs w:val="21"/>
        </w:rPr>
        <w:t>五、开标</w:t>
      </w:r>
      <w:r>
        <w:rPr>
          <w:rStyle w:val="63"/>
          <w:rFonts w:hint="eastAsia" w:asciiTheme="minorEastAsia" w:hAnsiTheme="minorEastAsia" w:eastAsiaTheme="minorEastAsia" w:cstheme="minorEastAsia"/>
          <w:sz w:val="21"/>
          <w:szCs w:val="21"/>
        </w:rPr>
        <w:tab/>
      </w:r>
      <w:r>
        <w:rPr>
          <w:rStyle w:val="63"/>
          <w:rFonts w:hint="eastAsia" w:asciiTheme="minorEastAsia" w:hAnsiTheme="minorEastAsia" w:eastAsiaTheme="minorEastAsia" w:cstheme="minorEastAsia"/>
          <w:sz w:val="21"/>
          <w:szCs w:val="21"/>
        </w:rPr>
        <w:fldChar w:fldCharType="end"/>
      </w:r>
    </w:p>
    <w:p>
      <w:pPr>
        <w:pStyle w:val="50"/>
        <w:tabs>
          <w:tab w:val="right" w:leader="dot" w:pos="9638"/>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"file:///C:\\Users\\admin\\AppData\\Local\\Temp\\1B856F57-3469-4173-929F-9F7D25214784\\4028e4085948a8080159493ffb710096\\zbwj.doc" \l "_Toc3547" </w:instrText>
      </w:r>
      <w:r>
        <w:rPr>
          <w:rFonts w:hint="eastAsia" w:asciiTheme="minorEastAsia" w:hAnsiTheme="minorEastAsia" w:eastAsiaTheme="minorEastAsia" w:cstheme="minorEastAsia"/>
          <w:sz w:val="21"/>
          <w:szCs w:val="21"/>
        </w:rPr>
        <w:fldChar w:fldCharType="separate"/>
      </w:r>
      <w:r>
        <w:rPr>
          <w:rStyle w:val="63"/>
          <w:rFonts w:hint="eastAsia" w:asciiTheme="minorEastAsia" w:hAnsiTheme="minorEastAsia" w:eastAsiaTheme="minorEastAsia" w:cstheme="minorEastAsia"/>
          <w:kern w:val="0"/>
          <w:sz w:val="21"/>
          <w:szCs w:val="21"/>
        </w:rPr>
        <w:t>六、评标程序和要求</w:t>
      </w:r>
      <w:r>
        <w:rPr>
          <w:rStyle w:val="63"/>
          <w:rFonts w:hint="eastAsia" w:asciiTheme="minorEastAsia" w:hAnsiTheme="minorEastAsia" w:eastAsiaTheme="minorEastAsia" w:cstheme="minorEastAsia"/>
          <w:sz w:val="21"/>
          <w:szCs w:val="21"/>
        </w:rPr>
        <w:tab/>
      </w:r>
      <w:r>
        <w:rPr>
          <w:rStyle w:val="63"/>
          <w:rFonts w:hint="eastAsia" w:asciiTheme="minorEastAsia" w:hAnsiTheme="minorEastAsia" w:eastAsiaTheme="minorEastAsia" w:cstheme="minorEastAsia"/>
          <w:sz w:val="21"/>
          <w:szCs w:val="21"/>
        </w:rPr>
        <w:fldChar w:fldCharType="end"/>
      </w:r>
    </w:p>
    <w:p>
      <w:pPr>
        <w:pStyle w:val="50"/>
        <w:tabs>
          <w:tab w:val="right" w:leader="dot" w:pos="9638"/>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"file:///C:\\Users\\admin\\AppData\\Local\\Temp\\1B856F57-3469-4173-929F-9F7D25214784\\4028e4085948a8080159493ffb710096\\zbwj.doc" \l "_Toc8753" </w:instrText>
      </w:r>
      <w:r>
        <w:rPr>
          <w:rFonts w:hint="eastAsia" w:asciiTheme="minorEastAsia" w:hAnsiTheme="minorEastAsia" w:eastAsiaTheme="minorEastAsia" w:cstheme="minorEastAsia"/>
          <w:sz w:val="21"/>
          <w:szCs w:val="21"/>
        </w:rPr>
        <w:fldChar w:fldCharType="separate"/>
      </w:r>
      <w:r>
        <w:rPr>
          <w:rStyle w:val="63"/>
          <w:rFonts w:hint="eastAsia" w:asciiTheme="minorEastAsia" w:hAnsiTheme="minorEastAsia" w:eastAsiaTheme="minorEastAsia" w:cstheme="minorEastAsia"/>
          <w:kern w:val="0"/>
          <w:sz w:val="21"/>
          <w:szCs w:val="21"/>
        </w:rPr>
        <w:t>七、签订合同</w:t>
      </w:r>
      <w:r>
        <w:rPr>
          <w:rStyle w:val="63"/>
          <w:rFonts w:hint="eastAsia" w:asciiTheme="minorEastAsia" w:hAnsiTheme="minorEastAsia" w:eastAsiaTheme="minorEastAsia" w:cstheme="minorEastAsia"/>
          <w:sz w:val="21"/>
          <w:szCs w:val="21"/>
        </w:rPr>
        <w:tab/>
      </w:r>
      <w:r>
        <w:rPr>
          <w:rStyle w:val="63"/>
          <w:rFonts w:hint="eastAsia" w:asciiTheme="minorEastAsia" w:hAnsiTheme="minorEastAsia" w:eastAsiaTheme="minorEastAsia" w:cstheme="minorEastAsia"/>
          <w:sz w:val="21"/>
          <w:szCs w:val="21"/>
        </w:rPr>
        <w:fldChar w:fldCharType="end"/>
      </w:r>
    </w:p>
    <w:p>
      <w:pPr>
        <w:pStyle w:val="50"/>
        <w:tabs>
          <w:tab w:val="right" w:leader="dot" w:pos="9638"/>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"file:///C:\\Users\\admin\\AppData\\Local\\Temp\\1B856F57-3469-4173-929F-9F7D25214784\\4028e4085948a8080159493ffb710096\\zbwj.doc" \l "_Toc7575" </w:instrText>
      </w:r>
      <w:r>
        <w:rPr>
          <w:rFonts w:hint="eastAsia" w:asciiTheme="minorEastAsia" w:hAnsiTheme="minorEastAsia" w:eastAsiaTheme="minorEastAsia" w:cstheme="minorEastAsia"/>
          <w:sz w:val="21"/>
          <w:szCs w:val="21"/>
        </w:rPr>
        <w:fldChar w:fldCharType="separate"/>
      </w:r>
      <w:r>
        <w:rPr>
          <w:rStyle w:val="63"/>
          <w:rFonts w:hint="eastAsia" w:asciiTheme="minorEastAsia" w:hAnsiTheme="minorEastAsia" w:eastAsiaTheme="minorEastAsia" w:cstheme="minorEastAsia"/>
          <w:kern w:val="0"/>
          <w:sz w:val="21"/>
          <w:szCs w:val="21"/>
          <w:lang w:eastAsia="zh-CN"/>
        </w:rPr>
        <w:t>八</w:t>
      </w:r>
      <w:r>
        <w:rPr>
          <w:rStyle w:val="63"/>
          <w:rFonts w:hint="eastAsia" w:asciiTheme="minorEastAsia" w:hAnsiTheme="minorEastAsia" w:eastAsiaTheme="minorEastAsia" w:cstheme="minorEastAsia"/>
          <w:kern w:val="0"/>
          <w:sz w:val="21"/>
          <w:szCs w:val="21"/>
        </w:rPr>
        <w:t>、保密和披露</w:t>
      </w:r>
      <w:r>
        <w:rPr>
          <w:rStyle w:val="63"/>
          <w:rFonts w:hint="eastAsia" w:asciiTheme="minorEastAsia" w:hAnsiTheme="minorEastAsia" w:eastAsiaTheme="minorEastAsia" w:cstheme="minorEastAsia"/>
          <w:sz w:val="21"/>
          <w:szCs w:val="21"/>
        </w:rPr>
        <w:tab/>
      </w:r>
      <w:r>
        <w:rPr>
          <w:rStyle w:val="63"/>
          <w:rFonts w:hint="eastAsia" w:asciiTheme="minorEastAsia" w:hAnsiTheme="minorEastAsia" w:eastAsiaTheme="minorEastAsia" w:cstheme="minorEastAsia"/>
          <w:sz w:val="21"/>
          <w:szCs w:val="21"/>
        </w:rPr>
        <w:fldChar w:fldCharType="end"/>
      </w:r>
    </w:p>
    <w:p>
      <w:pPr>
        <w:pStyle w:val="50"/>
        <w:tabs>
          <w:tab w:val="right" w:leader="dot" w:pos="9638"/>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"file:///C:\\Users\\admin\\AppData\\Local\\Temp\\1B856F57-3469-4173-929F-9F7D25214784\\4028e4085948a8080159493ffb710096\\zbwj.doc" \l "_Toc23160"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eastAsia="zh-CN"/>
        </w:rPr>
        <w:t>九</w:t>
      </w:r>
      <w:r>
        <w:rPr>
          <w:rStyle w:val="63"/>
          <w:rFonts w:hint="eastAsia" w:asciiTheme="minorEastAsia" w:hAnsiTheme="minorEastAsia" w:eastAsiaTheme="minorEastAsia" w:cstheme="minorEastAsia"/>
          <w:kern w:val="0"/>
          <w:sz w:val="21"/>
          <w:szCs w:val="21"/>
        </w:rPr>
        <w:t>、询问和质疑</w:t>
      </w:r>
      <w:r>
        <w:rPr>
          <w:rStyle w:val="63"/>
          <w:rFonts w:hint="eastAsia" w:asciiTheme="minorEastAsia" w:hAnsiTheme="minorEastAsia" w:eastAsiaTheme="minorEastAsia" w:cstheme="minorEastAsia"/>
          <w:sz w:val="21"/>
          <w:szCs w:val="21"/>
        </w:rPr>
        <w:tab/>
      </w:r>
      <w:r>
        <w:rPr>
          <w:rStyle w:val="63"/>
          <w:rFonts w:hint="eastAsia" w:asciiTheme="minorEastAsia" w:hAnsiTheme="minorEastAsia" w:eastAsiaTheme="minorEastAsia" w:cstheme="minorEastAsia"/>
          <w:sz w:val="21"/>
          <w:szCs w:val="21"/>
        </w:rPr>
        <w:fldChar w:fldCharType="end"/>
      </w:r>
    </w:p>
    <w:p>
      <w:pPr>
        <w:pStyle w:val="42"/>
        <w:tabs>
          <w:tab w:val="right" w:leader="dot" w:pos="9638"/>
        </w:tabs>
        <w:rPr>
          <w:rStyle w:val="63"/>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"file:///C:\\Users\\admin\\AppData\\Local\\Temp\\1B856F57-3469-4173-929F-9F7D25214784\\4028e4085948a8080159493ffb710096\\zbwj.doc" \l "_Toc13258" </w:instrText>
      </w:r>
      <w:r>
        <w:rPr>
          <w:rFonts w:hint="eastAsia" w:asciiTheme="minorEastAsia" w:hAnsiTheme="minorEastAsia" w:eastAsiaTheme="minorEastAsia" w:cstheme="minorEastAsia"/>
          <w:sz w:val="21"/>
          <w:szCs w:val="21"/>
        </w:rPr>
        <w:fldChar w:fldCharType="separate"/>
      </w:r>
      <w:r>
        <w:rPr>
          <w:rStyle w:val="63"/>
          <w:rFonts w:hint="eastAsia" w:asciiTheme="minorEastAsia" w:hAnsiTheme="minorEastAsia" w:eastAsiaTheme="minorEastAsia" w:cstheme="minorEastAsia"/>
          <w:spacing w:val="20"/>
          <w:kern w:val="44"/>
          <w:sz w:val="21"/>
          <w:szCs w:val="21"/>
        </w:rPr>
        <w:t>第四部分商务、技术要求</w:t>
      </w:r>
      <w:r>
        <w:rPr>
          <w:rStyle w:val="63"/>
          <w:rFonts w:hint="eastAsia" w:asciiTheme="minorEastAsia" w:hAnsiTheme="minorEastAsia" w:eastAsiaTheme="minorEastAsia" w:cstheme="minorEastAsia"/>
          <w:sz w:val="21"/>
          <w:szCs w:val="21"/>
        </w:rPr>
        <w:tab/>
      </w:r>
      <w:r>
        <w:rPr>
          <w:rStyle w:val="63"/>
          <w:rFonts w:hint="eastAsia" w:asciiTheme="minorEastAsia" w:hAnsiTheme="minorEastAsia" w:eastAsiaTheme="minorEastAsia" w:cstheme="minorEastAsia"/>
          <w:sz w:val="21"/>
          <w:szCs w:val="21"/>
        </w:rPr>
        <w:fldChar w:fldCharType="end"/>
      </w:r>
    </w:p>
    <w:p>
      <w:pPr>
        <w:rPr>
          <w:rFonts w:hint="default" w:eastAsia="宋体"/>
          <w:b/>
          <w:bCs/>
          <w:lang w:val="en-US" w:eastAsia="zh-CN"/>
        </w:rPr>
      </w:pPr>
      <w:r>
        <w:rPr>
          <w:rFonts w:hint="eastAsia"/>
          <w:b/>
          <w:bCs/>
          <w:lang w:eastAsia="zh-CN"/>
        </w:rPr>
        <w:t>第五部分资格审查内容及标准</w:t>
      </w:r>
      <w:r>
        <w:rPr>
          <w:rFonts w:hint="eastAsia"/>
          <w:b/>
          <w:bCs/>
          <w:lang w:val="en-US" w:eastAsia="zh-CN"/>
        </w:rPr>
        <w:t>...........................................................................................................................</w:t>
      </w:r>
      <w:r>
        <w:rPr>
          <w:rStyle w:val="63"/>
          <w:rFonts w:hint="eastAsia" w:asciiTheme="minorEastAsia" w:hAnsiTheme="minorEastAsia" w:eastAsiaTheme="minorEastAsia" w:cstheme="minorEastAsia"/>
          <w:b/>
          <w:bCs/>
          <w:sz w:val="21"/>
          <w:szCs w:val="21"/>
        </w:rPr>
        <w:tab/>
      </w:r>
    </w:p>
    <w:p>
      <w:pPr>
        <w:pStyle w:val="42"/>
        <w:tabs>
          <w:tab w:val="right" w:leader="dot" w:pos="9638"/>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"file:///C:\\Users\\admin\\AppData\\Local\\Temp\\1B856F57-3469-4173-929F-9F7D25214784\\4028e4085948a8080159493ffb710096\\zbwj.doc" \l "_Toc22602" </w:instrText>
      </w:r>
      <w:r>
        <w:rPr>
          <w:rFonts w:hint="eastAsia" w:asciiTheme="minorEastAsia" w:hAnsiTheme="minorEastAsia" w:eastAsiaTheme="minorEastAsia" w:cstheme="minorEastAsia"/>
          <w:sz w:val="21"/>
          <w:szCs w:val="21"/>
        </w:rPr>
        <w:fldChar w:fldCharType="separate"/>
      </w:r>
      <w:r>
        <w:rPr>
          <w:rStyle w:val="63"/>
          <w:rFonts w:hint="eastAsia" w:asciiTheme="minorEastAsia" w:hAnsiTheme="minorEastAsia" w:eastAsiaTheme="minorEastAsia" w:cstheme="minorEastAsia"/>
          <w:sz w:val="21"/>
          <w:szCs w:val="21"/>
        </w:rPr>
        <w:t>第</w:t>
      </w:r>
      <w:r>
        <w:rPr>
          <w:rStyle w:val="63"/>
          <w:rFonts w:hint="eastAsia" w:asciiTheme="minorEastAsia" w:hAnsiTheme="minorEastAsia" w:eastAsiaTheme="minorEastAsia" w:cstheme="minorEastAsia"/>
          <w:sz w:val="21"/>
          <w:szCs w:val="21"/>
          <w:lang w:eastAsia="zh-CN"/>
        </w:rPr>
        <w:t>六</w:t>
      </w:r>
      <w:r>
        <w:rPr>
          <w:rStyle w:val="63"/>
          <w:rFonts w:hint="eastAsia" w:asciiTheme="minorEastAsia" w:hAnsiTheme="minorEastAsia" w:eastAsiaTheme="minorEastAsia" w:cstheme="minorEastAsia"/>
          <w:sz w:val="21"/>
          <w:szCs w:val="21"/>
        </w:rPr>
        <w:t>部分评标标准和评标方法</w:t>
      </w:r>
      <w:r>
        <w:rPr>
          <w:rStyle w:val="63"/>
          <w:rFonts w:hint="eastAsia" w:asciiTheme="minorEastAsia" w:hAnsiTheme="minorEastAsia" w:eastAsiaTheme="minorEastAsia" w:cstheme="minorEastAsia"/>
          <w:sz w:val="21"/>
          <w:szCs w:val="21"/>
        </w:rPr>
        <w:tab/>
      </w:r>
      <w:r>
        <w:rPr>
          <w:rStyle w:val="63"/>
          <w:rFonts w:hint="eastAsia" w:asciiTheme="minorEastAsia" w:hAnsiTheme="minorEastAsia" w:eastAsiaTheme="minorEastAsia" w:cstheme="minorEastAsia"/>
          <w:sz w:val="21"/>
          <w:szCs w:val="21"/>
        </w:rPr>
        <w:fldChar w:fldCharType="end"/>
      </w:r>
    </w:p>
    <w:p>
      <w:pPr>
        <w:pStyle w:val="42"/>
        <w:tabs>
          <w:tab w:val="right" w:leader="dot" w:pos="9638"/>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"file:///C:\\Users\\admin\\AppData\\Local\\Temp\\1B856F57-3469-4173-929F-9F7D25214784\\4028e4085948a8080159493ffb710096\\zbwj.doc" \l "_Toc453" </w:instrText>
      </w:r>
      <w:r>
        <w:rPr>
          <w:rFonts w:hint="eastAsia" w:asciiTheme="minorEastAsia" w:hAnsiTheme="minorEastAsia" w:eastAsiaTheme="minorEastAsia" w:cstheme="minorEastAsia"/>
          <w:sz w:val="21"/>
          <w:szCs w:val="21"/>
        </w:rPr>
        <w:fldChar w:fldCharType="separate"/>
      </w:r>
      <w:r>
        <w:rPr>
          <w:rStyle w:val="63"/>
          <w:rFonts w:hint="eastAsia" w:asciiTheme="minorEastAsia" w:hAnsiTheme="minorEastAsia" w:eastAsiaTheme="minorEastAsia" w:cstheme="minorEastAsia"/>
          <w:sz w:val="21"/>
          <w:szCs w:val="21"/>
        </w:rPr>
        <w:t>第</w:t>
      </w:r>
      <w:r>
        <w:rPr>
          <w:rStyle w:val="63"/>
          <w:rFonts w:hint="eastAsia" w:asciiTheme="minorEastAsia" w:hAnsiTheme="minorEastAsia" w:eastAsiaTheme="minorEastAsia" w:cstheme="minorEastAsia"/>
          <w:sz w:val="21"/>
          <w:szCs w:val="21"/>
          <w:lang w:eastAsia="zh-CN"/>
        </w:rPr>
        <w:t>七</w:t>
      </w:r>
      <w:r>
        <w:rPr>
          <w:rStyle w:val="63"/>
          <w:rFonts w:hint="eastAsia" w:asciiTheme="minorEastAsia" w:hAnsiTheme="minorEastAsia" w:eastAsiaTheme="minorEastAsia" w:cstheme="minorEastAsia"/>
          <w:sz w:val="21"/>
          <w:szCs w:val="21"/>
        </w:rPr>
        <w:t>部分合同原则</w:t>
      </w:r>
      <w:r>
        <w:rPr>
          <w:rStyle w:val="63"/>
          <w:rFonts w:hint="eastAsia" w:asciiTheme="minorEastAsia" w:hAnsiTheme="minorEastAsia" w:eastAsiaTheme="minorEastAsia" w:cstheme="minorEastAsia"/>
          <w:sz w:val="21"/>
          <w:szCs w:val="21"/>
        </w:rPr>
        <w:tab/>
      </w:r>
      <w:r>
        <w:rPr>
          <w:rStyle w:val="63"/>
          <w:rFonts w:hint="eastAsia" w:asciiTheme="minorEastAsia" w:hAnsiTheme="minorEastAsia" w:eastAsiaTheme="minorEastAsia" w:cstheme="minorEastAsia"/>
          <w:sz w:val="21"/>
          <w:szCs w:val="21"/>
        </w:rPr>
        <w:fldChar w:fldCharType="end"/>
      </w:r>
    </w:p>
    <w:p>
      <w:pPr>
        <w:pStyle w:val="42"/>
        <w:tabs>
          <w:tab w:val="right" w:leader="dot" w:pos="9638"/>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"file:///C:\\Users\\admin\\AppData\\Local\\Temp\\1B856F57-3469-4173-929F-9F7D25214784\\4028e4085948a8080159493ffb710096\\zbwj.doc" \l "_Toc13772" </w:instrText>
      </w:r>
      <w:r>
        <w:rPr>
          <w:rFonts w:hint="eastAsia" w:asciiTheme="minorEastAsia" w:hAnsiTheme="minorEastAsia" w:eastAsiaTheme="minorEastAsia" w:cstheme="minorEastAsia"/>
          <w:sz w:val="21"/>
          <w:szCs w:val="21"/>
        </w:rPr>
        <w:fldChar w:fldCharType="separate"/>
      </w:r>
      <w:r>
        <w:rPr>
          <w:rStyle w:val="63"/>
          <w:rFonts w:hint="eastAsia" w:asciiTheme="minorEastAsia" w:hAnsiTheme="minorEastAsia" w:eastAsiaTheme="minorEastAsia" w:cstheme="minorEastAsia"/>
          <w:sz w:val="21"/>
          <w:szCs w:val="21"/>
        </w:rPr>
        <w:t>第</w:t>
      </w:r>
      <w:r>
        <w:rPr>
          <w:rStyle w:val="63"/>
          <w:rFonts w:hint="eastAsia" w:asciiTheme="minorEastAsia" w:hAnsiTheme="minorEastAsia" w:eastAsiaTheme="minorEastAsia" w:cstheme="minorEastAsia"/>
          <w:sz w:val="21"/>
          <w:szCs w:val="21"/>
          <w:lang w:eastAsia="zh-CN"/>
        </w:rPr>
        <w:t>八</w:t>
      </w:r>
      <w:r>
        <w:rPr>
          <w:rStyle w:val="63"/>
          <w:rFonts w:hint="eastAsia" w:asciiTheme="minorEastAsia" w:hAnsiTheme="minorEastAsia" w:eastAsiaTheme="minorEastAsia" w:cstheme="minorEastAsia"/>
          <w:sz w:val="21"/>
          <w:szCs w:val="21"/>
        </w:rPr>
        <w:t>部分投标文件格式</w:t>
      </w:r>
      <w:r>
        <w:rPr>
          <w:rStyle w:val="63"/>
          <w:rFonts w:hint="eastAsia" w:asciiTheme="minorEastAsia" w:hAnsiTheme="minorEastAsia" w:eastAsiaTheme="minorEastAsia" w:cstheme="minorEastAsia"/>
          <w:sz w:val="21"/>
          <w:szCs w:val="21"/>
        </w:rPr>
        <w:tab/>
      </w:r>
      <w:r>
        <w:rPr>
          <w:rStyle w:val="63"/>
          <w:rFonts w:hint="eastAsia" w:asciiTheme="minorEastAsia" w:hAnsiTheme="minorEastAsia" w:eastAsiaTheme="minorEastAsia" w:cstheme="minorEastAsia"/>
          <w:sz w:val="21"/>
          <w:szCs w:val="21"/>
        </w:rPr>
        <w:fldChar w:fldCharType="end"/>
      </w:r>
    </w:p>
    <w:p>
      <w:pPr>
        <w:pStyle w:val="42"/>
        <w:tabs>
          <w:tab w:val="right" w:leader="dot" w:pos="9638"/>
        </w:tabs>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end"/>
      </w:r>
    </w:p>
    <w:p/>
    <w:p/>
    <w:p/>
    <w:p/>
    <w:p/>
    <w:p/>
    <w:p/>
    <w:p/>
    <w:p/>
    <w:p/>
    <w:p/>
    <w:p/>
    <w:p/>
    <w:p/>
    <w:p/>
    <w:p/>
    <w:p>
      <w:pPr>
        <w:pStyle w:val="3"/>
      </w:pPr>
      <w:bookmarkStart w:id="0" w:name="_Toc352761927"/>
      <w:bookmarkStart w:id="1" w:name="_Toc10642"/>
    </w:p>
    <w:p>
      <w:pPr>
        <w:pStyle w:val="2"/>
      </w:pPr>
    </w:p>
    <w:p/>
    <w:p>
      <w:pPr>
        <w:pStyle w:val="2"/>
      </w:pPr>
    </w:p>
    <w:p/>
    <w:p>
      <w:pPr>
        <w:pStyle w:val="2"/>
      </w:pPr>
    </w:p>
    <w:p/>
    <w:p>
      <w:pPr>
        <w:pStyle w:val="2"/>
      </w:pPr>
    </w:p>
    <w:p>
      <w:pPr>
        <w:keepNext/>
        <w:keepLines/>
        <w:adjustRightInd w:val="0"/>
        <w:snapToGrid w:val="0"/>
        <w:jc w:val="both"/>
        <w:outlineLvl w:val="0"/>
        <w:rPr>
          <w:rFonts w:hint="eastAsia" w:ascii="宋体" w:hAnsi="宋体" w:cs="宋体"/>
          <w:b/>
          <w:bCs/>
          <w:spacing w:val="20"/>
          <w:kern w:val="44"/>
          <w:sz w:val="28"/>
          <w:szCs w:val="28"/>
        </w:rPr>
      </w:pPr>
    </w:p>
    <w:p>
      <w:pPr>
        <w:keepNext/>
        <w:keepLines/>
        <w:adjustRightInd w:val="0"/>
        <w:snapToGrid w:val="0"/>
        <w:jc w:val="center"/>
        <w:outlineLvl w:val="0"/>
        <w:rPr>
          <w:rFonts w:ascii="宋体" w:cs="宋体"/>
          <w:b/>
          <w:bCs/>
          <w:spacing w:val="20"/>
          <w:kern w:val="44"/>
          <w:sz w:val="28"/>
          <w:szCs w:val="28"/>
        </w:rPr>
      </w:pPr>
      <w:r>
        <w:rPr>
          <w:rFonts w:hint="eastAsia" w:ascii="宋体" w:hAnsi="宋体" w:cs="宋体"/>
          <w:b/>
          <w:bCs/>
          <w:spacing w:val="20"/>
          <w:kern w:val="44"/>
          <w:sz w:val="28"/>
          <w:szCs w:val="28"/>
        </w:rPr>
        <w:t>第一部分  投标邀请</w:t>
      </w:r>
      <w:bookmarkEnd w:id="0"/>
      <w:bookmarkEnd w:id="1"/>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48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48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阳泉市第十一中学校理化生实验室仪器设备采购项目</w:t>
      </w:r>
      <w:r>
        <w:rPr>
          <w:rFonts w:hint="eastAsia" w:ascii="宋体" w:hAnsi="宋体" w:eastAsia="宋体" w:cs="宋体"/>
          <w:b w:val="0"/>
          <w:bCs w:val="0"/>
          <w:sz w:val="21"/>
          <w:szCs w:val="21"/>
        </w:rPr>
        <w:t>的潜在供应商应在</w:t>
      </w:r>
      <w:r>
        <w:rPr>
          <w:rFonts w:hint="eastAsia" w:ascii="宋体" w:hAnsi="宋体" w:eastAsia="宋体" w:cs="宋体"/>
          <w:b w:val="0"/>
          <w:bCs w:val="0"/>
          <w:sz w:val="21"/>
          <w:szCs w:val="21"/>
          <w:lang w:eastAsia="zh-CN"/>
        </w:rPr>
        <w:t>山西政府采购平台（www.ccgp-shanxi.gov.cn）</w:t>
      </w:r>
      <w:r>
        <w:rPr>
          <w:rFonts w:hint="eastAsia" w:ascii="宋体" w:hAnsi="宋体" w:eastAsia="宋体" w:cs="宋体"/>
          <w:b w:val="0"/>
          <w:bCs w:val="0"/>
          <w:sz w:val="21"/>
          <w:szCs w:val="21"/>
        </w:rPr>
        <w:t>处获取采购文件，并于</w:t>
      </w:r>
      <w:r>
        <w:rPr>
          <w:rFonts w:hint="eastAsia" w:ascii="宋体" w:hAnsi="宋体" w:eastAsia="宋体" w:cs="宋体"/>
          <w:b w:val="0"/>
          <w:bCs w:val="0"/>
          <w:color w:val="auto"/>
          <w:sz w:val="21"/>
          <w:szCs w:val="21"/>
          <w:highlight w:val="none"/>
          <w:u w:val="single"/>
          <w:lang w:val="en-US" w:eastAsia="zh-CN"/>
        </w:rPr>
        <w:t>202</w:t>
      </w:r>
      <w:r>
        <w:rPr>
          <w:rFonts w:hint="eastAsia" w:ascii="宋体" w:hAnsi="宋体" w:cs="宋体"/>
          <w:b w:val="0"/>
          <w:bCs w:val="0"/>
          <w:color w:val="auto"/>
          <w:sz w:val="21"/>
          <w:szCs w:val="21"/>
          <w:highlight w:val="none"/>
          <w:u w:val="single"/>
          <w:lang w:val="en-US" w:eastAsia="zh-CN"/>
        </w:rPr>
        <w:t>4</w:t>
      </w:r>
      <w:r>
        <w:rPr>
          <w:rFonts w:hint="eastAsia" w:ascii="宋体" w:hAnsi="宋体" w:eastAsia="宋体" w:cs="宋体"/>
          <w:b w:val="0"/>
          <w:bCs w:val="0"/>
          <w:color w:val="auto"/>
          <w:sz w:val="21"/>
          <w:szCs w:val="21"/>
          <w:highlight w:val="none"/>
          <w:u w:val="single"/>
        </w:rPr>
        <w:t>年</w:t>
      </w:r>
      <w:r>
        <w:rPr>
          <w:rFonts w:hint="eastAsia" w:ascii="宋体" w:hAnsi="宋体" w:cs="宋体"/>
          <w:b w:val="0"/>
          <w:bCs w:val="0"/>
          <w:color w:val="auto"/>
          <w:sz w:val="21"/>
          <w:szCs w:val="21"/>
          <w:highlight w:val="none"/>
          <w:u w:val="single"/>
          <w:lang w:val="en-US" w:eastAsia="zh-CN"/>
        </w:rPr>
        <w:t>03</w:t>
      </w:r>
      <w:r>
        <w:rPr>
          <w:rFonts w:hint="eastAsia" w:ascii="宋体" w:hAnsi="宋体" w:eastAsia="宋体" w:cs="宋体"/>
          <w:b w:val="0"/>
          <w:bCs w:val="0"/>
          <w:color w:val="auto"/>
          <w:sz w:val="21"/>
          <w:szCs w:val="21"/>
          <w:highlight w:val="none"/>
          <w:u w:val="single"/>
        </w:rPr>
        <w:t>月</w:t>
      </w:r>
      <w:r>
        <w:rPr>
          <w:rFonts w:hint="eastAsia" w:ascii="宋体" w:hAnsi="宋体" w:cs="宋体"/>
          <w:b w:val="0"/>
          <w:bCs w:val="0"/>
          <w:color w:val="auto"/>
          <w:sz w:val="21"/>
          <w:szCs w:val="21"/>
          <w:highlight w:val="none"/>
          <w:u w:val="single"/>
          <w:lang w:val="en-US" w:eastAsia="zh-CN"/>
        </w:rPr>
        <w:t>29</w:t>
      </w:r>
      <w:r>
        <w:rPr>
          <w:rFonts w:hint="eastAsia" w:ascii="宋体" w:hAnsi="宋体" w:eastAsia="宋体" w:cs="宋体"/>
          <w:b w:val="0"/>
          <w:bCs w:val="0"/>
          <w:color w:val="auto"/>
          <w:sz w:val="21"/>
          <w:szCs w:val="21"/>
          <w:highlight w:val="none"/>
          <w:u w:val="single"/>
        </w:rPr>
        <w:t>日</w:t>
      </w:r>
      <w:r>
        <w:rPr>
          <w:rFonts w:hint="eastAsia" w:ascii="宋体" w:hAnsi="宋体" w:eastAsia="宋体" w:cs="宋体"/>
          <w:b w:val="0"/>
          <w:bCs w:val="0"/>
          <w:color w:val="auto"/>
          <w:sz w:val="21"/>
          <w:szCs w:val="21"/>
          <w:highlight w:val="none"/>
          <w:u w:val="single"/>
          <w:lang w:val="en-US" w:eastAsia="zh-CN"/>
        </w:rPr>
        <w:t>09点30分</w:t>
      </w:r>
      <w:r>
        <w:rPr>
          <w:rFonts w:hint="eastAsia" w:ascii="宋体" w:hAnsi="宋体" w:eastAsia="宋体" w:cs="宋体"/>
          <w:b w:val="0"/>
          <w:bCs w:val="0"/>
          <w:sz w:val="21"/>
          <w:szCs w:val="21"/>
        </w:rPr>
        <w:t>（北京时间）前提交</w:t>
      </w:r>
      <w:r>
        <w:rPr>
          <w:rFonts w:hint="eastAsia" w:ascii="宋体" w:hAnsi="宋体" w:eastAsia="宋体" w:cs="宋体"/>
          <w:b w:val="0"/>
          <w:bCs w:val="0"/>
          <w:sz w:val="21"/>
          <w:szCs w:val="21"/>
          <w:lang w:eastAsia="zh-CN"/>
        </w:rPr>
        <w:t>投标文件</w:t>
      </w:r>
      <w:r>
        <w:rPr>
          <w:rFonts w:hint="eastAsia" w:ascii="宋体" w:hAnsi="宋体" w:eastAsia="宋体" w:cs="宋体"/>
          <w:b w:val="0"/>
          <w:bCs w:val="0"/>
          <w:sz w:val="21"/>
          <w:szCs w:val="21"/>
        </w:rPr>
        <w:t>。</w:t>
      </w:r>
    </w:p>
    <w:p>
      <w:pPr>
        <w:keepNext w:val="0"/>
        <w:keepLines w:val="0"/>
        <w:pageBreakBefore w:val="0"/>
        <w:numPr>
          <w:ilvl w:val="0"/>
          <w:numId w:val="2"/>
        </w:numPr>
        <w:kinsoku/>
        <w:wordWrap/>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项目名称：</w:t>
      </w:r>
      <w:r>
        <w:rPr>
          <w:rFonts w:hint="eastAsia" w:ascii="宋体" w:hAnsi="宋体" w:cs="宋体"/>
          <w:b w:val="0"/>
          <w:bCs w:val="0"/>
          <w:sz w:val="21"/>
          <w:szCs w:val="21"/>
          <w:lang w:eastAsia="zh-CN"/>
        </w:rPr>
        <w:t>阳泉市第十一中学校理化生实验室仪器设备采购项目</w:t>
      </w:r>
      <w:r>
        <w:rPr>
          <w:rFonts w:hint="eastAsia" w:ascii="宋体" w:hAnsi="宋体" w:eastAsia="宋体" w:cs="宋体"/>
          <w:b w:val="0"/>
          <w:bCs w:val="0"/>
          <w:sz w:val="21"/>
          <w:szCs w:val="21"/>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80" w:lineRule="auto"/>
        <w:ind w:left="-360" w:leftChars="0" w:right="360" w:rightChars="0" w:firstLine="840" w:firstLineChars="400"/>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二、</w:t>
      </w:r>
      <w:r>
        <w:rPr>
          <w:rFonts w:hint="eastAsia" w:ascii="宋体" w:hAnsi="宋体" w:eastAsia="宋体" w:cs="宋体"/>
          <w:b w:val="0"/>
          <w:bCs w:val="0"/>
          <w:sz w:val="21"/>
          <w:szCs w:val="21"/>
        </w:rPr>
        <w:t>项目编号</w:t>
      </w:r>
      <w:r>
        <w:rPr>
          <w:rFonts w:hint="eastAsia" w:ascii="宋体" w:hAnsi="宋体" w:cs="宋体"/>
          <w:b w:val="0"/>
          <w:bCs w:val="0"/>
          <w:sz w:val="21"/>
          <w:szCs w:val="21"/>
          <w:lang w:eastAsia="zh-CN"/>
        </w:rPr>
        <w:t>：</w:t>
      </w:r>
      <w:r>
        <w:rPr>
          <w:rFonts w:ascii="微软雅黑" w:hAnsi="微软雅黑" w:eastAsia="微软雅黑" w:cs="微软雅黑"/>
          <w:i w:val="0"/>
          <w:iCs w:val="0"/>
          <w:caps w:val="0"/>
          <w:color w:val="666666"/>
          <w:spacing w:val="0"/>
          <w:sz w:val="21"/>
          <w:szCs w:val="21"/>
          <w:shd w:val="clear" w:fill="FFFFFF"/>
        </w:rPr>
        <w:t>1403992024AGK00009</w:t>
      </w:r>
      <w:r>
        <w:rPr>
          <w:rFonts w:hint="eastAsia" w:ascii="宋体" w:hAnsi="宋体" w:cs="宋体"/>
          <w:b w:val="0"/>
          <w:bCs w:val="0"/>
          <w:sz w:val="21"/>
          <w:szCs w:val="21"/>
          <w:lang w:eastAsia="zh-CN"/>
        </w:rPr>
        <w:t xml:space="preserve"> </w:t>
      </w:r>
      <w:r>
        <w:rPr>
          <w:rFonts w:hint="eastAsia" w:ascii="宋体" w:hAnsi="宋体" w:eastAsia="宋体" w:cs="宋体"/>
          <w:b w:val="0"/>
          <w:bCs w:val="0"/>
          <w:sz w:val="21"/>
          <w:szCs w:val="21"/>
        </w:rPr>
        <w:t xml:space="preserve">  </w:t>
      </w:r>
    </w:p>
    <w:p>
      <w:pPr>
        <w:keepNext w:val="0"/>
        <w:keepLines w:val="0"/>
        <w:pageBreakBefore w:val="0"/>
        <w:kinsoku/>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三、招标内容</w:t>
      </w:r>
    </w:p>
    <w:p>
      <w:pPr>
        <w:keepNext w:val="0"/>
        <w:keepLines w:val="0"/>
        <w:pageBreakBefore w:val="0"/>
        <w:kinsoku/>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1、本次招标共</w:t>
      </w: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DOCVARIABLE  VAR002012  \* MERGEFORMAT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[1]</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t>包：投标人可以投报。</w:t>
      </w:r>
    </w:p>
    <w:p>
      <w:pPr>
        <w:keepNext w:val="0"/>
        <w:keepLines w:val="0"/>
        <w:pageBreakBefore w:val="0"/>
        <w:kinsoku/>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2、招标范围：以本招标文件中商务、技术和服务的相应规定为准。</w:t>
      </w:r>
    </w:p>
    <w:p>
      <w:pPr>
        <w:keepNext w:val="0"/>
        <w:keepLines w:val="0"/>
        <w:pageBreakBefore w:val="0"/>
        <w:kinsoku/>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3、招标公示期：自本项目公告刊登之日起20个日历日。</w:t>
      </w:r>
    </w:p>
    <w:p>
      <w:pPr>
        <w:keepNext w:val="0"/>
        <w:keepLines w:val="0"/>
        <w:pageBreakBefore w:val="0"/>
        <w:kinsoku/>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4、招标文件售价：</w:t>
      </w:r>
      <w:r>
        <w:rPr>
          <w:rFonts w:hint="eastAsia" w:ascii="宋体" w:hAnsi="宋体" w:cs="宋体"/>
          <w:b w:val="0"/>
          <w:bCs w:val="0"/>
          <w:sz w:val="21"/>
          <w:szCs w:val="21"/>
          <w:lang w:eastAsia="zh-CN"/>
        </w:rPr>
        <w:t>免费</w:t>
      </w:r>
      <w:r>
        <w:rPr>
          <w:rFonts w:hint="eastAsia" w:ascii="宋体" w:hAnsi="宋体" w:eastAsia="宋体" w:cs="宋体"/>
          <w:b w:val="0"/>
          <w:bCs w:val="0"/>
          <w:sz w:val="21"/>
          <w:szCs w:val="21"/>
        </w:rPr>
        <w:t>。</w:t>
      </w:r>
    </w:p>
    <w:p>
      <w:pPr>
        <w:keepNext w:val="0"/>
        <w:keepLines w:val="0"/>
        <w:pageBreakBefore w:val="0"/>
        <w:kinsoku/>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5、是否允许联合体投标：否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20" w:firstLineChars="200"/>
        <w:jc w:val="both"/>
        <w:textAlignment w:val="auto"/>
        <w:rPr>
          <w:rFonts w:hint="eastAsia" w:ascii="宋体" w:hAnsi="宋体" w:cs="宋体"/>
          <w:b w:val="0"/>
          <w:bCs w:val="0"/>
          <w:sz w:val="21"/>
          <w:szCs w:val="21"/>
          <w:lang w:val="en-US" w:eastAsia="zh-CN"/>
        </w:rPr>
      </w:pPr>
      <w:r>
        <w:rPr>
          <w:rFonts w:hint="eastAsia" w:ascii="宋体" w:hAnsi="宋体" w:eastAsia="宋体" w:cs="宋体"/>
          <w:b w:val="0"/>
          <w:bCs w:val="0"/>
          <w:sz w:val="21"/>
          <w:szCs w:val="21"/>
          <w:lang w:val="en-US" w:eastAsia="zh-CN"/>
        </w:rPr>
        <w:t>6、</w:t>
      </w:r>
      <w:r>
        <w:rPr>
          <w:rFonts w:hint="eastAsia" w:ascii="宋体" w:hAnsi="宋体" w:cs="宋体"/>
          <w:b w:val="0"/>
          <w:bCs w:val="0"/>
          <w:sz w:val="21"/>
          <w:szCs w:val="21"/>
          <w:lang w:val="en-US" w:eastAsia="zh-CN"/>
        </w:rPr>
        <w:t>采购预算：肆佰捌拾叁万壹仟肆佰元整（4831400元）</w:t>
      </w:r>
    </w:p>
    <w:p>
      <w:pPr>
        <w:pStyle w:val="2"/>
        <w:keepNext w:val="0"/>
        <w:keepLines w:val="0"/>
        <w:pageBreakBefore w:val="0"/>
        <w:kinsoku/>
        <w:overflowPunct/>
        <w:topLinePunct w:val="0"/>
        <w:autoSpaceDE/>
        <w:autoSpaceDN/>
        <w:bidi w:val="0"/>
        <w:adjustRightInd/>
        <w:spacing w:line="480" w:lineRule="auto"/>
        <w:textAlignment w:val="auto"/>
        <w:rPr>
          <w:rFonts w:hint="default"/>
          <w:lang w:val="en-US" w:eastAsia="zh-CN"/>
        </w:rPr>
      </w:pPr>
      <w:r>
        <w:rPr>
          <w:rFonts w:hint="eastAsia" w:ascii="宋体" w:hAnsi="宋体" w:cs="宋体"/>
          <w:b w:val="0"/>
          <w:bCs w:val="0"/>
          <w:sz w:val="21"/>
          <w:szCs w:val="21"/>
          <w:lang w:val="en-US" w:eastAsia="zh-CN"/>
        </w:rPr>
        <w:t xml:space="preserve">     最高限价：同预算金额</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7、</w:t>
      </w:r>
      <w:r>
        <w:rPr>
          <w:rFonts w:hint="eastAsia" w:ascii="宋体" w:hAnsi="宋体" w:eastAsia="宋体" w:cs="宋体"/>
          <w:b w:val="0"/>
          <w:bCs w:val="0"/>
          <w:sz w:val="21"/>
          <w:szCs w:val="21"/>
          <w:lang w:val="en-US" w:eastAsia="zh-CN"/>
        </w:rPr>
        <w:t>采购需求：</w:t>
      </w:r>
      <w:r>
        <w:rPr>
          <w:rFonts w:hint="eastAsia" w:ascii="宋体" w:hAnsi="宋体" w:cs="宋体"/>
          <w:b w:val="0"/>
          <w:bCs w:val="0"/>
          <w:sz w:val="21"/>
          <w:szCs w:val="21"/>
          <w:lang w:val="en-US" w:eastAsia="zh-CN"/>
        </w:rPr>
        <w:t>（具体采购需求见招标文件）</w:t>
      </w:r>
    </w:p>
    <w:p>
      <w:pPr>
        <w:keepNext w:val="0"/>
        <w:keepLines w:val="0"/>
        <w:pageBreakBefore w:val="0"/>
        <w:kinsoku/>
        <w:overflowPunct/>
        <w:topLinePunct w:val="0"/>
        <w:autoSpaceDE/>
        <w:autoSpaceDN/>
        <w:bidi w:val="0"/>
        <w:adjustRightInd/>
        <w:spacing w:line="480" w:lineRule="auto"/>
        <w:ind w:left="630" w:leftChars="200" w:hanging="210" w:hangingChars="100"/>
        <w:textAlignment w:val="auto"/>
        <w:rPr>
          <w:rFonts w:hint="eastAsia" w:eastAsia="宋体"/>
          <w:sz w:val="21"/>
          <w:szCs w:val="21"/>
          <w:lang w:val="en-US" w:eastAsia="zh-CN"/>
        </w:rPr>
      </w:pPr>
      <w:r>
        <w:rPr>
          <w:rFonts w:hint="eastAsia" w:ascii="宋体" w:hAnsi="宋体" w:cs="宋体"/>
          <w:sz w:val="21"/>
          <w:szCs w:val="21"/>
          <w:lang w:val="en-US" w:eastAsia="zh-CN"/>
        </w:rPr>
        <w:t>8、</w:t>
      </w:r>
      <w:r>
        <w:rPr>
          <w:rFonts w:hint="eastAsia" w:ascii="宋体" w:hAnsi="宋体" w:eastAsia="宋体" w:cs="宋体"/>
          <w:sz w:val="21"/>
          <w:szCs w:val="21"/>
        </w:rPr>
        <w:t>合同履行期限：</w:t>
      </w:r>
      <w:r>
        <w:rPr>
          <w:rFonts w:hint="default"/>
          <w:lang w:val="en-US" w:eastAsia="zh-CN"/>
        </w:rPr>
        <w:t>自合同签订之日起 30 个工作日内完成运输、安装、调试、培训，达到验收标准。</w:t>
      </w:r>
    </w:p>
    <w:p>
      <w:pPr>
        <w:keepNext w:val="0"/>
        <w:keepLines w:val="0"/>
        <w:pageBreakBefore w:val="0"/>
        <w:kinsoku/>
        <w:overflowPunct/>
        <w:topLinePunct w:val="0"/>
        <w:autoSpaceDE/>
        <w:autoSpaceDN/>
        <w:bidi w:val="0"/>
        <w:adjustRightInd/>
        <w:spacing w:line="480" w:lineRule="auto"/>
        <w:ind w:firstLine="420" w:firstLineChars="200"/>
        <w:textAlignment w:val="auto"/>
        <w:rPr>
          <w:rFonts w:hint="eastAsia" w:ascii="宋体" w:hAnsi="宋体" w:eastAsia="宋体" w:cs="宋体"/>
          <w:sz w:val="21"/>
          <w:szCs w:val="21"/>
        </w:rPr>
      </w:pPr>
      <w:bookmarkStart w:id="2" w:name="_Toc35393799"/>
      <w:bookmarkStart w:id="3" w:name="_Toc28359090"/>
      <w:bookmarkStart w:id="4" w:name="_Toc28359013"/>
      <w:bookmarkStart w:id="5" w:name="_Toc35393630"/>
      <w:r>
        <w:rPr>
          <w:rFonts w:hint="eastAsia" w:ascii="宋体" w:hAnsi="宋体" w:cs="宋体"/>
          <w:sz w:val="21"/>
          <w:szCs w:val="21"/>
          <w:lang w:eastAsia="zh-CN"/>
        </w:rPr>
        <w:t>四、</w:t>
      </w:r>
      <w:r>
        <w:rPr>
          <w:rFonts w:hint="eastAsia" w:ascii="宋体" w:hAnsi="宋体" w:eastAsia="宋体" w:cs="宋体"/>
          <w:sz w:val="21"/>
          <w:szCs w:val="21"/>
        </w:rPr>
        <w:t>申请人的资格要求：</w:t>
      </w:r>
      <w:bookmarkEnd w:id="2"/>
      <w:bookmarkEnd w:id="3"/>
      <w:bookmarkEnd w:id="4"/>
      <w:bookmarkEnd w:id="5"/>
    </w:p>
    <w:p>
      <w:pPr>
        <w:keepNext w:val="0"/>
        <w:keepLines w:val="0"/>
        <w:pageBreakBefore w:val="0"/>
        <w:kinsoku/>
        <w:overflowPunct/>
        <w:topLinePunct w:val="0"/>
        <w:autoSpaceDE/>
        <w:autoSpaceDN/>
        <w:bidi w:val="0"/>
        <w:adjustRightInd/>
        <w:spacing w:line="48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1.满足《中华人民共和国政府采购法》第二十二条规定；</w:t>
      </w:r>
    </w:p>
    <w:p>
      <w:pPr>
        <w:keepNext w:val="0"/>
        <w:keepLines w:val="0"/>
        <w:pageBreakBefore w:val="0"/>
        <w:kinsoku/>
        <w:overflowPunct/>
        <w:topLinePunct w:val="0"/>
        <w:autoSpaceDE/>
        <w:autoSpaceDN/>
        <w:bidi w:val="0"/>
        <w:adjustRightInd/>
        <w:spacing w:line="48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2.落实政府采购政策需满足的资格要求：</w:t>
      </w:r>
      <w:r>
        <w:rPr>
          <w:rFonts w:hint="eastAsia" w:ascii="宋体" w:hAnsi="宋体" w:eastAsia="宋体" w:cs="宋体"/>
          <w:szCs w:val="21"/>
          <w:lang w:eastAsia="zh-CN"/>
        </w:rPr>
        <w:t>本项目为中小企业预留项目，</w:t>
      </w:r>
      <w:r>
        <w:rPr>
          <w:rFonts w:hint="eastAsia" w:ascii="宋体" w:hAnsi="宋体" w:eastAsia="宋体" w:cs="宋体"/>
          <w:szCs w:val="21"/>
          <w:lang w:val="en-US" w:eastAsia="zh-CN"/>
        </w:rPr>
        <w:t>请供应商按照</w:t>
      </w:r>
      <w:r>
        <w:rPr>
          <w:rFonts w:hint="eastAsia" w:ascii="宋体" w:hAnsi="宋体" w:cs="宋体"/>
          <w:szCs w:val="21"/>
          <w:lang w:val="en-US" w:eastAsia="zh-CN"/>
        </w:rPr>
        <w:t>投标</w:t>
      </w:r>
      <w:r>
        <w:rPr>
          <w:rFonts w:hint="eastAsia" w:ascii="宋体" w:hAnsi="宋体" w:eastAsia="宋体" w:cs="宋体"/>
          <w:szCs w:val="21"/>
          <w:lang w:val="en-US" w:eastAsia="zh-CN"/>
        </w:rPr>
        <w:t>文件中格式提供中小企业声明函或监狱企业证明文件及相关证明材料或残疾人福利性单位声明函。</w:t>
      </w:r>
    </w:p>
    <w:p>
      <w:pPr>
        <w:keepNext w:val="0"/>
        <w:keepLines w:val="0"/>
        <w:pageBreakBefore w:val="0"/>
        <w:kinsoku/>
        <w:overflowPunct/>
        <w:topLinePunct w:val="0"/>
        <w:autoSpaceDE/>
        <w:autoSpaceDN/>
        <w:bidi w:val="0"/>
        <w:adjustRightInd/>
        <w:spacing w:line="480" w:lineRule="auto"/>
        <w:ind w:firstLine="420" w:firstLineChars="200"/>
        <w:textAlignment w:val="auto"/>
        <w:rPr>
          <w:rFonts w:hint="eastAsia"/>
          <w:sz w:val="21"/>
          <w:szCs w:val="21"/>
        </w:rPr>
      </w:pPr>
      <w:r>
        <w:rPr>
          <w:rFonts w:hint="eastAsia" w:ascii="宋体" w:hAnsi="宋体" w:eastAsia="宋体" w:cs="宋体"/>
          <w:sz w:val="21"/>
          <w:szCs w:val="21"/>
        </w:rPr>
        <w:t>3.本项目的特定资格要求：</w:t>
      </w:r>
      <w:r>
        <w:rPr>
          <w:rFonts w:hint="eastAsia" w:ascii="宋体" w:hAnsi="宋体" w:eastAsia="宋体" w:cs="宋体"/>
          <w:sz w:val="21"/>
          <w:szCs w:val="21"/>
          <w:lang w:eastAsia="zh-CN"/>
        </w:rPr>
        <w:t>无</w:t>
      </w:r>
    </w:p>
    <w:p>
      <w:pPr>
        <w:keepNext w:val="0"/>
        <w:keepLines w:val="0"/>
        <w:pageBreakBefore w:val="0"/>
        <w:kinsoku/>
        <w:overflowPunct/>
        <w:topLinePunct w:val="0"/>
        <w:autoSpaceDE/>
        <w:autoSpaceDN/>
        <w:bidi w:val="0"/>
        <w:adjustRightInd/>
        <w:spacing w:line="48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五</w:t>
      </w:r>
      <w:r>
        <w:rPr>
          <w:rFonts w:hint="eastAsia" w:ascii="宋体" w:hAnsi="宋体" w:eastAsia="宋体" w:cs="宋体"/>
          <w:b w:val="0"/>
          <w:bCs w:val="0"/>
          <w:sz w:val="21"/>
          <w:szCs w:val="21"/>
        </w:rPr>
        <w:t>、获取采购文件</w:t>
      </w:r>
    </w:p>
    <w:p>
      <w:pPr>
        <w:keepNext w:val="0"/>
        <w:keepLines w:val="0"/>
        <w:pageBreakBefore w:val="0"/>
        <w:kinsoku/>
        <w:overflowPunct/>
        <w:topLinePunct w:val="0"/>
        <w:autoSpaceDE/>
        <w:autoSpaceDN/>
        <w:bidi w:val="0"/>
        <w:adjustRightInd/>
        <w:spacing w:line="48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时间：</w:t>
      </w:r>
      <w:r>
        <w:rPr>
          <w:rFonts w:hint="eastAsia" w:ascii="宋体" w:hAnsi="宋体" w:eastAsia="宋体" w:cs="宋体"/>
          <w:b w:val="0"/>
          <w:bCs w:val="0"/>
          <w:sz w:val="21"/>
          <w:szCs w:val="21"/>
          <w:highlight w:val="none"/>
          <w:lang w:val="en-US" w:eastAsia="zh-CN"/>
        </w:rPr>
        <w:t>202</w:t>
      </w:r>
      <w:r>
        <w:rPr>
          <w:rFonts w:hint="eastAsia" w:ascii="宋体" w:hAnsi="宋体" w:cs="宋体"/>
          <w:b w:val="0"/>
          <w:bCs w:val="0"/>
          <w:sz w:val="21"/>
          <w:szCs w:val="21"/>
          <w:highlight w:val="none"/>
          <w:lang w:val="en-US" w:eastAsia="zh-CN"/>
        </w:rPr>
        <w:t>4</w:t>
      </w:r>
      <w:r>
        <w:rPr>
          <w:rFonts w:hint="eastAsia" w:ascii="宋体" w:hAnsi="宋体" w:eastAsia="宋体" w:cs="宋体"/>
          <w:b w:val="0"/>
          <w:bCs w:val="0"/>
          <w:sz w:val="21"/>
          <w:szCs w:val="21"/>
          <w:highlight w:val="none"/>
        </w:rPr>
        <w:t>年</w:t>
      </w:r>
      <w:r>
        <w:rPr>
          <w:rFonts w:hint="eastAsia" w:ascii="宋体" w:hAnsi="宋体" w:cs="宋体"/>
          <w:b w:val="0"/>
          <w:bCs w:val="0"/>
          <w:sz w:val="21"/>
          <w:szCs w:val="21"/>
          <w:highlight w:val="none"/>
          <w:lang w:val="en-US" w:eastAsia="zh-CN"/>
        </w:rPr>
        <w:t>03</w:t>
      </w:r>
      <w:r>
        <w:rPr>
          <w:rFonts w:hint="eastAsia" w:ascii="宋体" w:hAnsi="宋体" w:eastAsia="宋体" w:cs="宋体"/>
          <w:b w:val="0"/>
          <w:bCs w:val="0"/>
          <w:sz w:val="21"/>
          <w:szCs w:val="21"/>
          <w:highlight w:val="none"/>
        </w:rPr>
        <w:t>月</w:t>
      </w:r>
      <w:r>
        <w:rPr>
          <w:rFonts w:hint="eastAsia" w:ascii="宋体" w:hAnsi="宋体" w:cs="宋体"/>
          <w:b w:val="0"/>
          <w:bCs w:val="0"/>
          <w:sz w:val="21"/>
          <w:szCs w:val="21"/>
          <w:highlight w:val="none"/>
          <w:lang w:val="en-US" w:eastAsia="zh-CN"/>
        </w:rPr>
        <w:t>08</w:t>
      </w:r>
      <w:r>
        <w:rPr>
          <w:rFonts w:hint="eastAsia" w:ascii="宋体" w:hAnsi="宋体" w:eastAsia="宋体" w:cs="宋体"/>
          <w:b w:val="0"/>
          <w:bCs w:val="0"/>
          <w:sz w:val="21"/>
          <w:szCs w:val="21"/>
          <w:highlight w:val="none"/>
        </w:rPr>
        <w:t>日00时00分至</w:t>
      </w:r>
      <w:r>
        <w:rPr>
          <w:rFonts w:hint="eastAsia" w:ascii="宋体" w:hAnsi="宋体" w:eastAsia="宋体" w:cs="宋体"/>
          <w:b w:val="0"/>
          <w:bCs w:val="0"/>
          <w:sz w:val="21"/>
          <w:szCs w:val="21"/>
          <w:highlight w:val="none"/>
          <w:lang w:val="en-US" w:eastAsia="zh-CN"/>
        </w:rPr>
        <w:t>20</w:t>
      </w:r>
      <w:r>
        <w:rPr>
          <w:rFonts w:hint="eastAsia" w:ascii="宋体" w:hAnsi="宋体" w:cs="宋体"/>
          <w:b w:val="0"/>
          <w:bCs w:val="0"/>
          <w:sz w:val="21"/>
          <w:szCs w:val="21"/>
          <w:highlight w:val="none"/>
          <w:lang w:val="en-US" w:eastAsia="zh-CN"/>
        </w:rPr>
        <w:t>24</w:t>
      </w:r>
      <w:r>
        <w:rPr>
          <w:rFonts w:hint="eastAsia" w:ascii="宋体" w:hAnsi="宋体" w:eastAsia="宋体" w:cs="宋体"/>
          <w:b w:val="0"/>
          <w:bCs w:val="0"/>
          <w:sz w:val="21"/>
          <w:szCs w:val="21"/>
          <w:highlight w:val="none"/>
        </w:rPr>
        <w:t>年</w:t>
      </w:r>
      <w:r>
        <w:rPr>
          <w:rFonts w:hint="eastAsia" w:ascii="宋体" w:hAnsi="宋体" w:cs="宋体"/>
          <w:b w:val="0"/>
          <w:bCs w:val="0"/>
          <w:sz w:val="21"/>
          <w:szCs w:val="21"/>
          <w:highlight w:val="none"/>
          <w:lang w:val="en-US" w:eastAsia="zh-CN"/>
        </w:rPr>
        <w:t>03</w:t>
      </w:r>
      <w:r>
        <w:rPr>
          <w:rFonts w:hint="eastAsia" w:ascii="宋体" w:hAnsi="宋体" w:eastAsia="宋体" w:cs="宋体"/>
          <w:b w:val="0"/>
          <w:bCs w:val="0"/>
          <w:sz w:val="21"/>
          <w:szCs w:val="21"/>
          <w:highlight w:val="none"/>
        </w:rPr>
        <w:t>月</w:t>
      </w:r>
      <w:r>
        <w:rPr>
          <w:rFonts w:hint="eastAsia" w:ascii="宋体" w:hAnsi="宋体" w:cs="宋体"/>
          <w:b w:val="0"/>
          <w:bCs w:val="0"/>
          <w:sz w:val="21"/>
          <w:szCs w:val="21"/>
          <w:highlight w:val="none"/>
          <w:lang w:val="en-US" w:eastAsia="zh-CN"/>
        </w:rPr>
        <w:t>15日00</w:t>
      </w:r>
      <w:r>
        <w:rPr>
          <w:rFonts w:hint="eastAsia" w:ascii="宋体" w:hAnsi="宋体" w:eastAsia="宋体" w:cs="宋体"/>
          <w:b w:val="0"/>
          <w:bCs w:val="0"/>
          <w:sz w:val="21"/>
          <w:szCs w:val="21"/>
          <w:highlight w:val="none"/>
        </w:rPr>
        <w:t>时</w:t>
      </w:r>
      <w:r>
        <w:rPr>
          <w:rFonts w:hint="eastAsia" w:ascii="宋体" w:hAnsi="宋体" w:cs="宋体"/>
          <w:b w:val="0"/>
          <w:bCs w:val="0"/>
          <w:sz w:val="21"/>
          <w:szCs w:val="21"/>
          <w:highlight w:val="none"/>
          <w:lang w:val="en-US" w:eastAsia="zh-CN"/>
        </w:rPr>
        <w:t>00</w:t>
      </w:r>
      <w:r>
        <w:rPr>
          <w:rFonts w:hint="eastAsia" w:ascii="宋体" w:hAnsi="宋体" w:eastAsia="宋体" w:cs="宋体"/>
          <w:b w:val="0"/>
          <w:bCs w:val="0"/>
          <w:sz w:val="21"/>
          <w:szCs w:val="21"/>
          <w:highlight w:val="none"/>
        </w:rPr>
        <w:t>分，</w:t>
      </w:r>
    </w:p>
    <w:p>
      <w:pPr>
        <w:keepNext w:val="0"/>
        <w:keepLines w:val="0"/>
        <w:pageBreakBefore w:val="0"/>
        <w:kinsoku/>
        <w:overflowPunct/>
        <w:topLinePunct w:val="0"/>
        <w:autoSpaceDE/>
        <w:autoSpaceDN/>
        <w:bidi w:val="0"/>
        <w:adjustRightInd/>
        <w:spacing w:line="480" w:lineRule="auto"/>
        <w:ind w:firstLine="420" w:firstLineChars="20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eastAsia="zh-CN"/>
        </w:rPr>
        <w:t>地点：山西政府采购平台（www.ccgp-shanxi.gov.cn）</w:t>
      </w:r>
    </w:p>
    <w:p>
      <w:pPr>
        <w:keepNext w:val="0"/>
        <w:keepLines w:val="0"/>
        <w:pageBreakBefore w:val="0"/>
        <w:kinsoku/>
        <w:overflowPunct/>
        <w:topLinePunct w:val="0"/>
        <w:autoSpaceDE/>
        <w:autoSpaceDN/>
        <w:bidi w:val="0"/>
        <w:adjustRightInd/>
        <w:spacing w:line="48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方式：</w:t>
      </w:r>
      <w:r>
        <w:rPr>
          <w:rFonts w:hint="eastAsia" w:ascii="宋体" w:hAnsi="宋体" w:eastAsia="宋体" w:cs="宋体"/>
          <w:b w:val="0"/>
          <w:bCs w:val="0"/>
          <w:sz w:val="21"/>
          <w:szCs w:val="21"/>
        </w:rPr>
        <w:t>凡有意参加的供应商请在采购文件获取时间内登录</w:t>
      </w:r>
      <w:r>
        <w:rPr>
          <w:rFonts w:hint="eastAsia" w:ascii="宋体" w:hAnsi="宋体" w:eastAsia="宋体" w:cs="宋体"/>
          <w:b w:val="0"/>
          <w:bCs w:val="0"/>
          <w:color w:val="333333"/>
          <w:spacing w:val="8"/>
          <w:kern w:val="0"/>
          <w:sz w:val="21"/>
          <w:szCs w:val="21"/>
        </w:rPr>
        <w:t>山西政府采购平台</w:t>
      </w:r>
      <w:r>
        <w:rPr>
          <w:rFonts w:hint="eastAsia" w:ascii="宋体" w:hAnsi="宋体" w:eastAsia="宋体" w:cs="宋体"/>
          <w:b w:val="0"/>
          <w:bCs w:val="0"/>
          <w:sz w:val="21"/>
          <w:szCs w:val="21"/>
        </w:rPr>
        <w:t>，通过系统指引下载获取本项目</w:t>
      </w:r>
      <w:r>
        <w:rPr>
          <w:rFonts w:hint="eastAsia" w:ascii="宋体" w:hAnsi="宋体" w:eastAsia="宋体" w:cs="宋体"/>
          <w:b w:val="0"/>
          <w:bCs w:val="0"/>
          <w:sz w:val="21"/>
          <w:szCs w:val="21"/>
          <w:lang w:eastAsia="zh-CN"/>
        </w:rPr>
        <w:t>招标文件</w:t>
      </w:r>
      <w:r>
        <w:rPr>
          <w:rFonts w:hint="eastAsia" w:ascii="宋体" w:hAnsi="宋体" w:eastAsia="宋体" w:cs="宋体"/>
          <w:b w:val="0"/>
          <w:bCs w:val="0"/>
          <w:sz w:val="21"/>
          <w:szCs w:val="21"/>
        </w:rPr>
        <w:t>，此为获取本项目</w:t>
      </w:r>
      <w:r>
        <w:rPr>
          <w:rFonts w:hint="eastAsia" w:ascii="宋体" w:hAnsi="宋体" w:eastAsia="宋体" w:cs="宋体"/>
          <w:b w:val="0"/>
          <w:bCs w:val="0"/>
          <w:sz w:val="21"/>
          <w:szCs w:val="21"/>
          <w:lang w:eastAsia="zh-CN"/>
        </w:rPr>
        <w:t>招标文件</w:t>
      </w:r>
      <w:r>
        <w:rPr>
          <w:rFonts w:hint="eastAsia" w:ascii="宋体" w:hAnsi="宋体" w:eastAsia="宋体" w:cs="宋体"/>
          <w:b w:val="0"/>
          <w:bCs w:val="0"/>
          <w:sz w:val="21"/>
          <w:szCs w:val="21"/>
        </w:rPr>
        <w:t>的唯一途径。</w:t>
      </w:r>
    </w:p>
    <w:p>
      <w:pPr>
        <w:keepNext w:val="0"/>
        <w:keepLines w:val="0"/>
        <w:pageBreakBefore w:val="0"/>
        <w:kinsoku/>
        <w:overflowPunct/>
        <w:topLinePunct w:val="0"/>
        <w:autoSpaceDE/>
        <w:autoSpaceDN/>
        <w:bidi w:val="0"/>
        <w:adjustRightInd/>
        <w:spacing w:line="48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售价：免费</w:t>
      </w:r>
    </w:p>
    <w:p>
      <w:pPr>
        <w:keepNext w:val="0"/>
        <w:keepLines w:val="0"/>
        <w:pageBreakBefore w:val="0"/>
        <w:kinsoku/>
        <w:overflowPunct/>
        <w:topLinePunct w:val="0"/>
        <w:autoSpaceDE/>
        <w:autoSpaceDN/>
        <w:bidi w:val="0"/>
        <w:adjustRightInd/>
        <w:spacing w:line="48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六</w:t>
      </w:r>
      <w:r>
        <w:rPr>
          <w:rFonts w:hint="eastAsia" w:ascii="宋体" w:hAnsi="宋体" w:eastAsia="宋体" w:cs="宋体"/>
          <w:b w:val="0"/>
          <w:bCs w:val="0"/>
          <w:sz w:val="21"/>
          <w:szCs w:val="21"/>
        </w:rPr>
        <w:t>、</w:t>
      </w:r>
      <w:r>
        <w:rPr>
          <w:rFonts w:hint="eastAsia" w:ascii="宋体" w:hAnsi="宋体" w:eastAsia="宋体" w:cs="宋体"/>
          <w:b w:val="0"/>
          <w:bCs w:val="0"/>
          <w:sz w:val="21"/>
          <w:szCs w:val="21"/>
          <w:lang w:eastAsia="zh-CN"/>
        </w:rPr>
        <w:t>投标文件</w:t>
      </w:r>
      <w:r>
        <w:rPr>
          <w:rFonts w:hint="eastAsia" w:ascii="宋体" w:hAnsi="宋体" w:eastAsia="宋体" w:cs="宋体"/>
          <w:b w:val="0"/>
          <w:bCs w:val="0"/>
          <w:sz w:val="21"/>
          <w:szCs w:val="21"/>
        </w:rPr>
        <w:t>提交</w:t>
      </w:r>
    </w:p>
    <w:p>
      <w:pPr>
        <w:keepNext w:val="0"/>
        <w:keepLines w:val="0"/>
        <w:pageBreakBefore w:val="0"/>
        <w:kinsoku/>
        <w:overflowPunct/>
        <w:topLinePunct w:val="0"/>
        <w:autoSpaceDE/>
        <w:autoSpaceDN/>
        <w:bidi w:val="0"/>
        <w:adjustRightInd/>
        <w:spacing w:line="48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截止时间：</w:t>
      </w:r>
      <w:r>
        <w:rPr>
          <w:rFonts w:hint="eastAsia" w:ascii="宋体" w:hAnsi="宋体" w:eastAsia="宋体" w:cs="宋体"/>
          <w:b w:val="0"/>
          <w:bCs w:val="0"/>
          <w:sz w:val="21"/>
          <w:szCs w:val="21"/>
          <w:highlight w:val="none"/>
          <w:lang w:val="en-US" w:eastAsia="zh-CN"/>
        </w:rPr>
        <w:t>202</w:t>
      </w:r>
      <w:r>
        <w:rPr>
          <w:rFonts w:hint="eastAsia" w:ascii="宋体" w:hAnsi="宋体" w:cs="宋体"/>
          <w:b w:val="0"/>
          <w:bCs w:val="0"/>
          <w:sz w:val="21"/>
          <w:szCs w:val="21"/>
          <w:highlight w:val="none"/>
          <w:lang w:val="en-US" w:eastAsia="zh-CN"/>
        </w:rPr>
        <w:t>4</w:t>
      </w:r>
      <w:r>
        <w:rPr>
          <w:rFonts w:hint="eastAsia" w:ascii="宋体" w:hAnsi="宋体" w:eastAsia="宋体" w:cs="宋体"/>
          <w:b w:val="0"/>
          <w:bCs w:val="0"/>
          <w:sz w:val="21"/>
          <w:szCs w:val="21"/>
          <w:highlight w:val="none"/>
        </w:rPr>
        <w:t>年</w:t>
      </w:r>
      <w:r>
        <w:rPr>
          <w:rFonts w:hint="eastAsia" w:ascii="宋体" w:hAnsi="宋体" w:cs="宋体"/>
          <w:b w:val="0"/>
          <w:bCs w:val="0"/>
          <w:sz w:val="21"/>
          <w:szCs w:val="21"/>
          <w:highlight w:val="none"/>
          <w:lang w:val="en-US" w:eastAsia="zh-CN"/>
        </w:rPr>
        <w:t>03</w:t>
      </w:r>
      <w:r>
        <w:rPr>
          <w:rFonts w:hint="eastAsia" w:ascii="宋体" w:hAnsi="宋体" w:eastAsia="宋体" w:cs="宋体"/>
          <w:b w:val="0"/>
          <w:bCs w:val="0"/>
          <w:sz w:val="21"/>
          <w:szCs w:val="21"/>
          <w:highlight w:val="none"/>
        </w:rPr>
        <w:t>月</w:t>
      </w:r>
      <w:r>
        <w:rPr>
          <w:rFonts w:hint="eastAsia" w:ascii="宋体" w:hAnsi="宋体" w:cs="宋体"/>
          <w:b w:val="0"/>
          <w:bCs w:val="0"/>
          <w:sz w:val="21"/>
          <w:szCs w:val="21"/>
          <w:highlight w:val="none"/>
          <w:lang w:val="en-US" w:eastAsia="zh-CN"/>
        </w:rPr>
        <w:t>29</w:t>
      </w:r>
      <w:r>
        <w:rPr>
          <w:rFonts w:hint="eastAsia" w:ascii="宋体" w:hAnsi="宋体" w:eastAsia="宋体" w:cs="宋体"/>
          <w:b w:val="0"/>
          <w:bCs w:val="0"/>
          <w:sz w:val="21"/>
          <w:szCs w:val="21"/>
          <w:highlight w:val="none"/>
        </w:rPr>
        <w:t>日</w:t>
      </w:r>
      <w:r>
        <w:rPr>
          <w:rFonts w:hint="eastAsia" w:ascii="宋体" w:hAnsi="宋体" w:eastAsia="宋体" w:cs="宋体"/>
          <w:b w:val="0"/>
          <w:bCs w:val="0"/>
          <w:sz w:val="21"/>
          <w:szCs w:val="21"/>
          <w:highlight w:val="none"/>
          <w:lang w:val="en-US" w:eastAsia="zh-CN"/>
        </w:rPr>
        <w:t>09</w:t>
      </w:r>
      <w:r>
        <w:rPr>
          <w:rFonts w:hint="eastAsia" w:ascii="宋体" w:hAnsi="宋体" w:eastAsia="宋体" w:cs="宋体"/>
          <w:b w:val="0"/>
          <w:bCs w:val="0"/>
          <w:sz w:val="21"/>
          <w:szCs w:val="21"/>
          <w:highlight w:val="none"/>
        </w:rPr>
        <w:t>点</w:t>
      </w:r>
      <w:r>
        <w:rPr>
          <w:rFonts w:hint="eastAsia" w:ascii="宋体" w:hAnsi="宋体" w:eastAsia="宋体" w:cs="宋体"/>
          <w:b w:val="0"/>
          <w:bCs w:val="0"/>
          <w:sz w:val="21"/>
          <w:szCs w:val="21"/>
          <w:highlight w:val="none"/>
          <w:lang w:val="en-US" w:eastAsia="zh-CN"/>
        </w:rPr>
        <w:t>3</w:t>
      </w:r>
      <w:r>
        <w:rPr>
          <w:rFonts w:hint="eastAsia" w:ascii="宋体" w:hAnsi="宋体" w:eastAsia="宋体" w:cs="宋体"/>
          <w:b w:val="0"/>
          <w:bCs w:val="0"/>
          <w:sz w:val="21"/>
          <w:szCs w:val="21"/>
          <w:lang w:val="en-US" w:eastAsia="zh-CN"/>
        </w:rPr>
        <w:t>0</w:t>
      </w:r>
      <w:r>
        <w:rPr>
          <w:rFonts w:hint="eastAsia" w:ascii="宋体" w:hAnsi="宋体" w:eastAsia="宋体" w:cs="宋体"/>
          <w:b w:val="0"/>
          <w:bCs w:val="0"/>
          <w:sz w:val="21"/>
          <w:szCs w:val="21"/>
        </w:rPr>
        <w:t>分（北京时间）</w:t>
      </w:r>
    </w:p>
    <w:p>
      <w:pPr>
        <w:keepNext w:val="0"/>
        <w:keepLines w:val="0"/>
        <w:pageBreakBefore w:val="0"/>
        <w:kinsoku/>
        <w:overflowPunct/>
        <w:topLinePunct w:val="0"/>
        <w:autoSpaceDE/>
        <w:autoSpaceDN/>
        <w:bidi w:val="0"/>
        <w:adjustRightInd/>
        <w:spacing w:line="48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highlight w:val="none"/>
          <w:lang w:eastAsia="zh-CN"/>
        </w:rPr>
        <w:t>递交方法：</w:t>
      </w:r>
      <w:r>
        <w:rPr>
          <w:rFonts w:hint="eastAsia" w:ascii="宋体" w:hAnsi="宋体" w:eastAsia="宋体" w:cs="宋体"/>
          <w:b w:val="0"/>
          <w:bCs w:val="0"/>
          <w:sz w:val="21"/>
          <w:szCs w:val="21"/>
        </w:rPr>
        <w:t>供应商应</w:t>
      </w:r>
      <w:r>
        <w:rPr>
          <w:rFonts w:hint="eastAsia" w:ascii="宋体" w:hAnsi="宋体" w:eastAsia="宋体" w:cs="宋体"/>
          <w:b w:val="0"/>
          <w:bCs w:val="0"/>
          <w:sz w:val="21"/>
          <w:szCs w:val="21"/>
          <w:lang w:eastAsia="zh-CN"/>
        </w:rPr>
        <w:t>在投标文件递交截止时间前按照山西政府采购平台设定的操作流程将电子投标文件上传至山西政府采购平台系统，未在截止时间前上传投标文件的，将导致投标无效，</w:t>
      </w:r>
      <w:r>
        <w:rPr>
          <w:rFonts w:hint="eastAsia" w:ascii="宋体" w:hAnsi="宋体" w:eastAsia="宋体" w:cs="宋体"/>
          <w:b w:val="0"/>
          <w:bCs w:val="0"/>
          <w:sz w:val="21"/>
          <w:szCs w:val="21"/>
        </w:rPr>
        <w:t>供应商自行承担责任。</w:t>
      </w:r>
    </w:p>
    <w:p>
      <w:pPr>
        <w:keepNext w:val="0"/>
        <w:keepLines w:val="0"/>
        <w:pageBreakBefore w:val="0"/>
        <w:kinsoku/>
        <w:overflowPunct/>
        <w:topLinePunct w:val="0"/>
        <w:autoSpaceDE/>
        <w:autoSpaceDN/>
        <w:bidi w:val="0"/>
        <w:adjustRightInd/>
        <w:spacing w:line="48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七</w:t>
      </w:r>
      <w:r>
        <w:rPr>
          <w:rFonts w:hint="eastAsia" w:ascii="宋体" w:hAnsi="宋体" w:eastAsia="宋体" w:cs="宋体"/>
          <w:b w:val="0"/>
          <w:bCs w:val="0"/>
          <w:sz w:val="21"/>
          <w:szCs w:val="21"/>
          <w:highlight w:val="none"/>
        </w:rPr>
        <w:t>、开启</w:t>
      </w:r>
    </w:p>
    <w:p>
      <w:pPr>
        <w:keepNext w:val="0"/>
        <w:keepLines w:val="0"/>
        <w:pageBreakBefore w:val="0"/>
        <w:kinsoku/>
        <w:overflowPunct/>
        <w:topLinePunct w:val="0"/>
        <w:autoSpaceDE/>
        <w:autoSpaceDN/>
        <w:bidi w:val="0"/>
        <w:adjustRightInd/>
        <w:spacing w:line="48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开启</w:t>
      </w:r>
      <w:r>
        <w:rPr>
          <w:rFonts w:hint="eastAsia" w:ascii="宋体" w:hAnsi="宋体" w:eastAsia="宋体" w:cs="宋体"/>
          <w:b w:val="0"/>
          <w:bCs w:val="0"/>
          <w:sz w:val="21"/>
          <w:szCs w:val="21"/>
        </w:rPr>
        <w:t>时间：202</w:t>
      </w:r>
      <w:r>
        <w:rPr>
          <w:rFonts w:hint="eastAsia" w:ascii="宋体" w:hAnsi="宋体" w:cs="宋体"/>
          <w:b w:val="0"/>
          <w:bCs w:val="0"/>
          <w:sz w:val="21"/>
          <w:szCs w:val="21"/>
          <w:lang w:val="en-US" w:eastAsia="zh-CN"/>
        </w:rPr>
        <w:t>4</w:t>
      </w:r>
      <w:r>
        <w:rPr>
          <w:rFonts w:hint="eastAsia" w:ascii="宋体" w:hAnsi="宋体" w:eastAsia="宋体" w:cs="宋体"/>
          <w:b w:val="0"/>
          <w:bCs w:val="0"/>
          <w:sz w:val="21"/>
          <w:szCs w:val="21"/>
        </w:rPr>
        <w:t>年</w:t>
      </w:r>
      <w:r>
        <w:rPr>
          <w:rFonts w:hint="eastAsia" w:ascii="宋体" w:hAnsi="宋体" w:cs="宋体"/>
          <w:b w:val="0"/>
          <w:bCs w:val="0"/>
          <w:sz w:val="21"/>
          <w:szCs w:val="21"/>
          <w:lang w:val="en-US" w:eastAsia="zh-CN"/>
        </w:rPr>
        <w:t>03</w:t>
      </w:r>
      <w:r>
        <w:rPr>
          <w:rFonts w:hint="eastAsia" w:ascii="宋体" w:hAnsi="宋体" w:eastAsia="宋体" w:cs="宋体"/>
          <w:b w:val="0"/>
          <w:bCs w:val="0"/>
          <w:sz w:val="21"/>
          <w:szCs w:val="21"/>
        </w:rPr>
        <w:t>月</w:t>
      </w:r>
      <w:r>
        <w:rPr>
          <w:rFonts w:hint="eastAsia" w:ascii="宋体" w:hAnsi="宋体" w:cs="宋体"/>
          <w:b w:val="0"/>
          <w:bCs w:val="0"/>
          <w:sz w:val="21"/>
          <w:szCs w:val="21"/>
          <w:lang w:val="en-US" w:eastAsia="zh-CN"/>
        </w:rPr>
        <w:t>29</w:t>
      </w:r>
      <w:r>
        <w:rPr>
          <w:rFonts w:hint="eastAsia" w:ascii="宋体" w:hAnsi="宋体" w:eastAsia="宋体" w:cs="宋体"/>
          <w:b w:val="0"/>
          <w:bCs w:val="0"/>
          <w:sz w:val="21"/>
          <w:szCs w:val="21"/>
        </w:rPr>
        <w:t>日</w:t>
      </w:r>
      <w:r>
        <w:rPr>
          <w:rFonts w:hint="eastAsia" w:ascii="宋体" w:hAnsi="宋体" w:eastAsia="宋体" w:cs="宋体"/>
          <w:b w:val="0"/>
          <w:bCs w:val="0"/>
          <w:sz w:val="21"/>
          <w:szCs w:val="21"/>
          <w:lang w:val="en-US" w:eastAsia="zh-CN"/>
        </w:rPr>
        <w:t>9</w:t>
      </w:r>
      <w:r>
        <w:rPr>
          <w:rFonts w:hint="eastAsia" w:ascii="宋体" w:hAnsi="宋体" w:eastAsia="宋体" w:cs="宋体"/>
          <w:b w:val="0"/>
          <w:bCs w:val="0"/>
          <w:sz w:val="21"/>
          <w:szCs w:val="21"/>
        </w:rPr>
        <w:t>点</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0分（北京时间）</w:t>
      </w:r>
    </w:p>
    <w:p>
      <w:pPr>
        <w:keepNext w:val="0"/>
        <w:keepLines w:val="0"/>
        <w:pageBreakBefore w:val="0"/>
        <w:kinsoku/>
        <w:overflowPunct/>
        <w:topLinePunct w:val="0"/>
        <w:autoSpaceDE/>
        <w:autoSpaceDN/>
        <w:bidi w:val="0"/>
        <w:adjustRightInd/>
        <w:spacing w:line="480" w:lineRule="auto"/>
        <w:ind w:firstLine="420" w:firstLineChars="200"/>
        <w:textAlignment w:val="auto"/>
        <w:rPr>
          <w:rFonts w:hint="eastAsia" w:ascii="宋体" w:hAnsi="宋体" w:eastAsia="宋体" w:cs="宋体"/>
          <w:b w:val="0"/>
          <w:bCs w:val="0"/>
          <w:color w:val="FF0000"/>
          <w:kern w:val="0"/>
          <w:sz w:val="21"/>
          <w:szCs w:val="21"/>
        </w:rPr>
      </w:pPr>
      <w:r>
        <w:rPr>
          <w:rFonts w:hint="eastAsia" w:ascii="宋体" w:hAnsi="宋体" w:eastAsia="宋体" w:cs="宋体"/>
          <w:b w:val="0"/>
          <w:bCs w:val="0"/>
          <w:sz w:val="21"/>
          <w:szCs w:val="21"/>
          <w:lang w:eastAsia="zh-CN"/>
        </w:rPr>
        <w:t>投标文件</w:t>
      </w:r>
      <w:r>
        <w:rPr>
          <w:rFonts w:hint="eastAsia" w:ascii="宋体" w:hAnsi="宋体" w:eastAsia="宋体" w:cs="宋体"/>
          <w:b w:val="0"/>
          <w:bCs w:val="0"/>
          <w:sz w:val="21"/>
          <w:szCs w:val="21"/>
        </w:rPr>
        <w:t>解密：解密发起后供应商在</w:t>
      </w:r>
      <w:r>
        <w:rPr>
          <w:rFonts w:hint="eastAsia" w:ascii="宋体" w:hAnsi="宋体" w:eastAsia="宋体" w:cs="宋体"/>
          <w:b w:val="0"/>
          <w:bCs w:val="0"/>
          <w:sz w:val="21"/>
          <w:szCs w:val="21"/>
          <w:lang w:eastAsia="zh-CN"/>
        </w:rPr>
        <w:t>规定时间内</w:t>
      </w:r>
      <w:r>
        <w:rPr>
          <w:rFonts w:hint="eastAsia" w:ascii="宋体" w:hAnsi="宋体" w:eastAsia="宋体" w:cs="宋体"/>
          <w:b w:val="0"/>
          <w:bCs w:val="0"/>
          <w:sz w:val="21"/>
          <w:szCs w:val="21"/>
        </w:rPr>
        <w:t>自行用加密所用的的CA数字证书进行解密</w:t>
      </w:r>
      <w:r>
        <w:rPr>
          <w:rFonts w:hint="eastAsia" w:ascii="宋体" w:hAnsi="宋体" w:eastAsia="宋体" w:cs="宋体"/>
          <w:b w:val="0"/>
          <w:bCs w:val="0"/>
          <w:sz w:val="21"/>
          <w:szCs w:val="21"/>
          <w:lang w:eastAsia="zh-CN"/>
        </w:rPr>
        <w:t>。</w:t>
      </w:r>
    </w:p>
    <w:p>
      <w:pPr>
        <w:keepNext w:val="0"/>
        <w:keepLines w:val="0"/>
        <w:pageBreakBefore w:val="0"/>
        <w:widowControl/>
        <w:kinsoku/>
        <w:wordWrap w:val="0"/>
        <w:overflowPunct/>
        <w:topLinePunct w:val="0"/>
        <w:autoSpaceDE/>
        <w:autoSpaceDN/>
        <w:bidi w:val="0"/>
        <w:adjustRightInd/>
        <w:snapToGrid w:val="0"/>
        <w:spacing w:line="480" w:lineRule="auto"/>
        <w:ind w:firstLine="420"/>
        <w:jc w:val="left"/>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eastAsia="zh-CN"/>
        </w:rPr>
        <w:t>八</w:t>
      </w:r>
      <w:r>
        <w:rPr>
          <w:rFonts w:hint="eastAsia" w:ascii="宋体" w:hAnsi="宋体" w:eastAsia="宋体" w:cs="宋体"/>
          <w:b w:val="0"/>
          <w:bCs w:val="0"/>
          <w:kern w:val="0"/>
          <w:sz w:val="21"/>
          <w:szCs w:val="21"/>
        </w:rPr>
        <w:t>、联系人及联系方式</w:t>
      </w:r>
    </w:p>
    <w:p>
      <w:pPr>
        <w:keepNext w:val="0"/>
        <w:keepLines w:val="0"/>
        <w:pageBreakBefore w:val="0"/>
        <w:widowControl/>
        <w:kinsoku/>
        <w:wordWrap w:val="0"/>
        <w:overflowPunct/>
        <w:topLinePunct w:val="0"/>
        <w:autoSpaceDE/>
        <w:autoSpaceDN/>
        <w:bidi w:val="0"/>
        <w:adjustRightInd/>
        <w:snapToGrid w:val="0"/>
        <w:spacing w:line="480" w:lineRule="auto"/>
        <w:ind w:firstLine="819" w:firstLineChars="390"/>
        <w:jc w:val="left"/>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采购人：</w:t>
      </w:r>
      <w:r>
        <w:rPr>
          <w:rFonts w:hint="eastAsia" w:ascii="宋体" w:hAnsi="宋体" w:cs="宋体"/>
          <w:b w:val="0"/>
          <w:bCs w:val="0"/>
          <w:kern w:val="0"/>
          <w:sz w:val="21"/>
          <w:szCs w:val="21"/>
          <w:lang w:eastAsia="zh-CN"/>
        </w:rPr>
        <w:t>阳泉市第十一中学校高中部</w:t>
      </w:r>
      <w:r>
        <w:rPr>
          <w:rFonts w:hint="eastAsia" w:ascii="宋体" w:hAnsi="宋体" w:eastAsia="宋体" w:cs="宋体"/>
          <w:b w:val="0"/>
          <w:bCs w:val="0"/>
          <w:kern w:val="0"/>
          <w:sz w:val="21"/>
          <w:szCs w:val="21"/>
        </w:rPr>
        <w:t xml:space="preserve"> </w:t>
      </w:r>
    </w:p>
    <w:p>
      <w:pPr>
        <w:keepNext w:val="0"/>
        <w:keepLines w:val="0"/>
        <w:pageBreakBefore w:val="0"/>
        <w:widowControl/>
        <w:kinsoku/>
        <w:wordWrap w:val="0"/>
        <w:overflowPunct/>
        <w:topLinePunct w:val="0"/>
        <w:autoSpaceDE/>
        <w:autoSpaceDN/>
        <w:bidi w:val="0"/>
        <w:adjustRightInd/>
        <w:snapToGrid w:val="0"/>
        <w:spacing w:line="480" w:lineRule="auto"/>
        <w:ind w:firstLine="840"/>
        <w:jc w:val="left"/>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地    址：</w:t>
      </w:r>
      <w:r>
        <w:rPr>
          <w:rFonts w:ascii="微软雅黑" w:hAnsi="微软雅黑" w:eastAsia="微软雅黑" w:cs="微软雅黑"/>
          <w:i w:val="0"/>
          <w:iCs w:val="0"/>
          <w:caps w:val="0"/>
          <w:color w:val="333333"/>
          <w:spacing w:val="0"/>
          <w:sz w:val="21"/>
          <w:szCs w:val="21"/>
          <w:shd w:val="clear" w:fill="FFFFFF"/>
        </w:rPr>
        <w:t>阳泉市北大西街10号</w:t>
      </w:r>
    </w:p>
    <w:p>
      <w:pPr>
        <w:keepNext w:val="0"/>
        <w:keepLines w:val="0"/>
        <w:pageBreakBefore w:val="0"/>
        <w:widowControl/>
        <w:kinsoku/>
        <w:wordWrap w:val="0"/>
        <w:overflowPunct/>
        <w:topLinePunct w:val="0"/>
        <w:autoSpaceDE/>
        <w:autoSpaceDN/>
        <w:bidi w:val="0"/>
        <w:adjustRightInd/>
        <w:snapToGrid w:val="0"/>
        <w:spacing w:line="480" w:lineRule="auto"/>
        <w:ind w:firstLine="840"/>
        <w:jc w:val="left"/>
        <w:textAlignment w:val="auto"/>
        <w:rPr>
          <w:rFonts w:hint="default"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rPr>
        <w:t>联系人：</w:t>
      </w:r>
      <w:r>
        <w:rPr>
          <w:rFonts w:hint="eastAsia" w:ascii="宋体" w:hAnsi="宋体" w:cs="宋体"/>
          <w:b w:val="0"/>
          <w:bCs w:val="0"/>
          <w:kern w:val="0"/>
          <w:sz w:val="21"/>
          <w:szCs w:val="21"/>
          <w:lang w:val="en-US" w:eastAsia="zh-CN"/>
        </w:rPr>
        <w:t xml:space="preserve"> </w:t>
      </w:r>
      <w:r>
        <w:rPr>
          <w:rFonts w:ascii="微软雅黑" w:hAnsi="微软雅黑" w:eastAsia="微软雅黑" w:cs="微软雅黑"/>
          <w:i w:val="0"/>
          <w:iCs w:val="0"/>
          <w:caps w:val="0"/>
          <w:color w:val="333333"/>
          <w:spacing w:val="0"/>
          <w:sz w:val="21"/>
          <w:szCs w:val="21"/>
          <w:shd w:val="clear" w:fill="FFFFFF"/>
        </w:rPr>
        <w:t>赵永军</w:t>
      </w:r>
      <w:r>
        <w:rPr>
          <w:rFonts w:hint="eastAsia" w:ascii="宋体" w:hAnsi="宋体" w:cs="宋体"/>
          <w:b w:val="0"/>
          <w:bCs w:val="0"/>
          <w:kern w:val="0"/>
          <w:sz w:val="21"/>
          <w:szCs w:val="21"/>
          <w:lang w:val="en-US" w:eastAsia="zh-CN"/>
        </w:rPr>
        <w:t xml:space="preserve">        </w:t>
      </w:r>
      <w:r>
        <w:rPr>
          <w:rFonts w:hint="eastAsia" w:ascii="宋体" w:hAnsi="宋体" w:eastAsia="宋体" w:cs="宋体"/>
          <w:b w:val="0"/>
          <w:bCs w:val="0"/>
          <w:kern w:val="0"/>
          <w:sz w:val="21"/>
          <w:szCs w:val="21"/>
          <w:lang w:val="en-US" w:eastAsia="zh-CN"/>
        </w:rPr>
        <w:t xml:space="preserve">     </w:t>
      </w:r>
      <w:r>
        <w:rPr>
          <w:rFonts w:hint="eastAsia" w:ascii="宋体" w:hAnsi="宋体" w:eastAsia="宋体" w:cs="宋体"/>
          <w:b w:val="0"/>
          <w:bCs w:val="0"/>
          <w:kern w:val="0"/>
          <w:sz w:val="21"/>
          <w:szCs w:val="21"/>
        </w:rPr>
        <w:t>联系电话：</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ascii="微软雅黑" w:hAnsi="微软雅黑" w:eastAsia="微软雅黑" w:cs="微软雅黑"/>
          <w:i w:val="0"/>
          <w:iCs w:val="0"/>
          <w:caps w:val="0"/>
          <w:color w:val="333333"/>
          <w:spacing w:val="0"/>
          <w:sz w:val="21"/>
          <w:szCs w:val="21"/>
          <w:shd w:val="clear" w:fill="FFFFFF"/>
        </w:rPr>
        <w:t>0353-707</w:t>
      </w:r>
      <w:r>
        <w:rPr>
          <w:rFonts w:hint="eastAsia" w:ascii="微软雅黑" w:hAnsi="微软雅黑" w:eastAsia="微软雅黑" w:cs="微软雅黑"/>
          <w:i w:val="0"/>
          <w:iCs w:val="0"/>
          <w:caps w:val="0"/>
          <w:color w:val="333333"/>
          <w:spacing w:val="0"/>
          <w:sz w:val="21"/>
          <w:szCs w:val="21"/>
          <w:shd w:val="clear" w:fill="FFFFFF"/>
          <w:lang w:val="en-US" w:eastAsia="zh-CN"/>
        </w:rPr>
        <w:t>13</w:t>
      </w:r>
      <w:r>
        <w:rPr>
          <w:rFonts w:ascii="微软雅黑" w:hAnsi="微软雅黑" w:eastAsia="微软雅黑" w:cs="微软雅黑"/>
          <w:i w:val="0"/>
          <w:iCs w:val="0"/>
          <w:caps w:val="0"/>
          <w:color w:val="333333"/>
          <w:spacing w:val="0"/>
          <w:sz w:val="21"/>
          <w:szCs w:val="21"/>
          <w:shd w:val="clear" w:fill="FFFFFF"/>
        </w:rPr>
        <w:t>83</w:t>
      </w:r>
    </w:p>
    <w:p>
      <w:pPr>
        <w:keepNext w:val="0"/>
        <w:keepLines w:val="0"/>
        <w:pageBreakBefore w:val="0"/>
        <w:widowControl/>
        <w:kinsoku/>
        <w:wordWrap w:val="0"/>
        <w:overflowPunct/>
        <w:topLinePunct w:val="0"/>
        <w:autoSpaceDE/>
        <w:autoSpaceDN/>
        <w:bidi w:val="0"/>
        <w:adjustRightInd/>
        <w:snapToGrid w:val="0"/>
        <w:spacing w:line="480" w:lineRule="auto"/>
        <w:ind w:firstLine="841"/>
        <w:jc w:val="left"/>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集采机构：</w:t>
      </w:r>
      <w:r>
        <w:rPr>
          <w:rFonts w:hint="eastAsia" w:ascii="宋体" w:hAnsi="宋体" w:eastAsia="宋体" w:cs="宋体"/>
          <w:b w:val="0"/>
          <w:bCs w:val="0"/>
          <w:kern w:val="0"/>
          <w:sz w:val="21"/>
          <w:szCs w:val="21"/>
          <w:lang w:eastAsia="zh-CN"/>
        </w:rPr>
        <w:t>阳泉市公共资源交易中心（阳泉市政府采购中心）</w:t>
      </w:r>
    </w:p>
    <w:p>
      <w:pPr>
        <w:keepNext w:val="0"/>
        <w:keepLines w:val="0"/>
        <w:pageBreakBefore w:val="0"/>
        <w:widowControl/>
        <w:kinsoku/>
        <w:wordWrap w:val="0"/>
        <w:overflowPunct/>
        <w:topLinePunct w:val="0"/>
        <w:autoSpaceDE/>
        <w:autoSpaceDN/>
        <w:bidi w:val="0"/>
        <w:adjustRightInd/>
        <w:snapToGrid w:val="0"/>
        <w:spacing w:line="480" w:lineRule="auto"/>
        <w:ind w:firstLine="840"/>
        <w:jc w:val="left"/>
        <w:textAlignment w:val="auto"/>
        <w:rPr>
          <w:rFonts w:hint="eastAsia" w:ascii="宋体" w:hAnsi="宋体" w:eastAsia="宋体" w:cs="宋体"/>
          <w:b w:val="0"/>
          <w:bCs w:val="0"/>
          <w:sz w:val="21"/>
          <w:szCs w:val="21"/>
        </w:rPr>
      </w:pPr>
      <w:r>
        <w:rPr>
          <w:rFonts w:hint="eastAsia" w:ascii="宋体" w:hAnsi="宋体" w:eastAsia="宋体" w:cs="宋体"/>
          <w:b w:val="0"/>
          <w:bCs w:val="0"/>
          <w:kern w:val="0"/>
          <w:sz w:val="21"/>
          <w:szCs w:val="21"/>
        </w:rPr>
        <w:t>地    址：</w:t>
      </w:r>
      <w:r>
        <w:rPr>
          <w:rFonts w:hint="eastAsia" w:ascii="宋体" w:hAnsi="宋体" w:eastAsia="宋体" w:cs="宋体"/>
          <w:b w:val="0"/>
          <w:bCs w:val="0"/>
          <w:sz w:val="21"/>
          <w:szCs w:val="21"/>
        </w:rPr>
        <w:t>阳泉市李荫路50号政务服务中心15号楼（北楼）6层　　</w:t>
      </w:r>
    </w:p>
    <w:p>
      <w:pPr>
        <w:keepNext w:val="0"/>
        <w:keepLines w:val="0"/>
        <w:pageBreakBefore w:val="0"/>
        <w:widowControl/>
        <w:kinsoku/>
        <w:overflowPunct/>
        <w:topLinePunct w:val="0"/>
        <w:autoSpaceDE/>
        <w:autoSpaceDN/>
        <w:bidi w:val="0"/>
        <w:adjustRightInd/>
        <w:spacing w:line="48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联系</w:t>
      </w:r>
      <w:r>
        <w:rPr>
          <w:rFonts w:hint="eastAsia" w:ascii="宋体" w:hAnsi="宋体" w:eastAsia="宋体" w:cs="宋体"/>
          <w:b w:val="0"/>
          <w:bCs w:val="0"/>
          <w:sz w:val="21"/>
          <w:szCs w:val="21"/>
          <w:lang w:eastAsia="zh-CN"/>
        </w:rPr>
        <w:t>人及</w:t>
      </w:r>
      <w:r>
        <w:rPr>
          <w:rFonts w:hint="eastAsia" w:ascii="宋体" w:hAnsi="宋体" w:eastAsia="宋体" w:cs="宋体"/>
          <w:b w:val="0"/>
          <w:bCs w:val="0"/>
          <w:sz w:val="21"/>
          <w:szCs w:val="21"/>
        </w:rPr>
        <w:t>方式：</w:t>
      </w:r>
      <w:r>
        <w:rPr>
          <w:rFonts w:hint="eastAsia" w:ascii="宋体" w:hAnsi="宋体" w:eastAsia="宋体" w:cs="宋体"/>
          <w:b w:val="0"/>
          <w:bCs w:val="0"/>
          <w:sz w:val="21"/>
          <w:szCs w:val="21"/>
          <w:lang w:eastAsia="zh-CN"/>
        </w:rPr>
        <w:t>杨静</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0353-333319</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　　　</w:t>
      </w:r>
    </w:p>
    <w:p>
      <w:pPr>
        <w:keepNext w:val="0"/>
        <w:keepLines w:val="0"/>
        <w:pageBreakBefore w:val="0"/>
        <w:widowControl/>
        <w:kinsoku/>
        <w:overflowPunct/>
        <w:topLinePunct w:val="0"/>
        <w:autoSpaceDE/>
        <w:autoSpaceDN/>
        <w:bidi w:val="0"/>
        <w:adjustRightInd/>
        <w:spacing w:line="480" w:lineRule="auto"/>
        <w:ind w:firstLine="630" w:firstLineChars="3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九、</w:t>
      </w:r>
      <w:r>
        <w:rPr>
          <w:rFonts w:hint="eastAsia" w:ascii="宋体" w:hAnsi="宋体" w:eastAsia="宋体" w:cs="宋体"/>
          <w:b w:val="0"/>
          <w:bCs w:val="0"/>
          <w:sz w:val="21"/>
          <w:szCs w:val="21"/>
        </w:rPr>
        <w:t>本招标文件所表述的时间均为北京时间。</w:t>
      </w:r>
    </w:p>
    <w:p>
      <w:pPr>
        <w:keepNext w:val="0"/>
        <w:keepLines w:val="0"/>
        <w:pageBreakBefore w:val="0"/>
        <w:widowControl/>
        <w:kinsoku/>
        <w:overflowPunct/>
        <w:topLinePunct w:val="0"/>
        <w:autoSpaceDE/>
        <w:autoSpaceDN/>
        <w:bidi w:val="0"/>
        <w:adjustRightInd/>
        <w:spacing w:line="480" w:lineRule="auto"/>
        <w:ind w:firstLine="420" w:firstLineChars="200"/>
        <w:textAlignment w:val="auto"/>
        <w:rPr>
          <w:rFonts w:ascii="宋体" w:hAnsi="宋体" w:cs="宋体"/>
        </w:rPr>
      </w:pPr>
      <w:r>
        <w:rPr>
          <w:rFonts w:hint="eastAsia" w:ascii="宋体" w:hAnsi="宋体" w:cs="宋体"/>
        </w:rPr>
        <w:t xml:space="preserve">  </w:t>
      </w:r>
      <w:r>
        <w:rPr>
          <w:rFonts w:hint="eastAsia" w:ascii="宋体" w:hAnsi="宋体" w:cs="宋体"/>
          <w:lang w:eastAsia="zh-CN"/>
        </w:rPr>
        <w:t>十</w:t>
      </w:r>
      <w:r>
        <w:rPr>
          <w:rFonts w:hint="eastAsia" w:ascii="宋体" w:hAnsi="宋体" w:cs="宋体"/>
        </w:rPr>
        <w:t>、其它条件：</w:t>
      </w:r>
    </w:p>
    <w:p>
      <w:pPr>
        <w:keepNext w:val="0"/>
        <w:keepLines w:val="0"/>
        <w:pageBreakBefore w:val="0"/>
        <w:widowControl/>
        <w:kinsoku/>
        <w:overflowPunct/>
        <w:topLinePunct w:val="0"/>
        <w:autoSpaceDE/>
        <w:autoSpaceDN/>
        <w:bidi w:val="0"/>
        <w:adjustRightInd/>
        <w:spacing w:line="480" w:lineRule="auto"/>
        <w:ind w:firstLine="630" w:firstLineChars="300"/>
        <w:textAlignment w:val="auto"/>
        <w:rPr>
          <w:rFonts w:hint="eastAsia" w:ascii="宋体" w:hAnsi="宋体" w:cs="宋体"/>
        </w:rPr>
      </w:pPr>
      <w:r>
        <w:rPr>
          <w:rFonts w:hint="eastAsia" w:ascii="宋体" w:hAnsi="宋体" w:cs="宋体"/>
        </w:rPr>
        <w:t>1、投标产品中须通过国家3C认证的产品，必须通过3C认证。</w:t>
      </w:r>
    </w:p>
    <w:p>
      <w:pPr>
        <w:keepNext w:val="0"/>
        <w:keepLines w:val="0"/>
        <w:pageBreakBefore w:val="0"/>
        <w:kinsoku/>
        <w:overflowPunct/>
        <w:topLinePunct w:val="0"/>
        <w:autoSpaceDE/>
        <w:autoSpaceDN/>
        <w:bidi w:val="0"/>
        <w:adjustRightInd/>
        <w:spacing w:line="480" w:lineRule="auto"/>
        <w:ind w:firstLine="630" w:firstLineChars="300"/>
        <w:textAlignment w:val="auto"/>
        <w:rPr>
          <w:rFonts w:hint="eastAsia" w:ascii="宋体" w:hAnsi="宋体" w:eastAsia="宋体" w:cs="宋体"/>
          <w:sz w:val="21"/>
          <w:szCs w:val="21"/>
        </w:rPr>
      </w:pPr>
      <w:r>
        <w:rPr>
          <w:rFonts w:hint="eastAsia" w:ascii="宋体" w:hAnsi="宋体" w:eastAsia="宋体" w:cs="宋体"/>
          <w:b w:val="0"/>
          <w:bCs w:val="0"/>
          <w:sz w:val="21"/>
          <w:szCs w:val="21"/>
          <w:lang w:val="en-US" w:eastAsia="zh-CN"/>
        </w:rPr>
        <w:t>十一:</w:t>
      </w:r>
      <w:r>
        <w:rPr>
          <w:rFonts w:hint="eastAsia" w:ascii="宋体" w:hAnsi="宋体" w:eastAsia="宋体" w:cs="宋体"/>
          <w:sz w:val="21"/>
          <w:szCs w:val="21"/>
        </w:rPr>
        <w:t>其他补充事宜：本次</w:t>
      </w:r>
      <w:r>
        <w:rPr>
          <w:rFonts w:hint="eastAsia" w:ascii="宋体" w:hAnsi="宋体" w:eastAsia="宋体" w:cs="宋体"/>
          <w:sz w:val="21"/>
          <w:szCs w:val="21"/>
          <w:lang w:eastAsia="zh-CN"/>
        </w:rPr>
        <w:t>招标</w:t>
      </w:r>
      <w:r>
        <w:rPr>
          <w:rFonts w:hint="eastAsia" w:ascii="宋体" w:hAnsi="宋体" w:eastAsia="宋体" w:cs="宋体"/>
          <w:sz w:val="21"/>
          <w:szCs w:val="21"/>
        </w:rPr>
        <w:t>采用远程开标，</w:t>
      </w:r>
      <w:r>
        <w:rPr>
          <w:rFonts w:hint="eastAsia" w:ascii="宋体" w:hAnsi="宋体" w:eastAsia="宋体" w:cs="宋体"/>
          <w:sz w:val="21"/>
          <w:szCs w:val="21"/>
          <w:lang w:eastAsia="zh-CN"/>
        </w:rPr>
        <w:t>投标人</w:t>
      </w:r>
      <w:r>
        <w:rPr>
          <w:rFonts w:hint="eastAsia" w:ascii="宋体" w:hAnsi="宋体" w:eastAsia="宋体" w:cs="宋体"/>
          <w:sz w:val="21"/>
          <w:szCs w:val="21"/>
        </w:rPr>
        <w:t>无需到达开标现场，在规定时间内自行在自有设备参加开标等程序。</w:t>
      </w:r>
    </w:p>
    <w:p>
      <w:pPr>
        <w:pStyle w:val="52"/>
        <w:keepNext w:val="0"/>
        <w:keepLines w:val="0"/>
        <w:pageBreakBefore w:val="0"/>
        <w:kinsoku/>
        <w:overflowPunct/>
        <w:topLinePunct w:val="0"/>
        <w:autoSpaceDE/>
        <w:autoSpaceDN/>
        <w:bidi w:val="0"/>
        <w:adjustRightInd/>
        <w:spacing w:line="480" w:lineRule="auto"/>
        <w:ind w:firstLine="630" w:firstLineChars="300"/>
        <w:jc w:val="left"/>
        <w:textAlignment w:val="auto"/>
        <w:rPr>
          <w:rFonts w:hint="eastAsia" w:ascii="宋体" w:hAnsi="宋体" w:eastAsia="宋体" w:cs="宋体"/>
          <w:b w:val="0"/>
          <w:bCs w:val="0"/>
          <w:sz w:val="21"/>
          <w:szCs w:val="21"/>
          <w:lang w:val="en-US" w:eastAsia="zh-CN"/>
        </w:rPr>
      </w:pPr>
    </w:p>
    <w:p>
      <w:pPr>
        <w:pageBreakBefore/>
        <w:adjustRightInd w:val="0"/>
        <w:snapToGrid w:val="0"/>
        <w:ind w:firstLine="2520" w:firstLineChars="1200"/>
        <w:jc w:val="both"/>
        <w:outlineLvl w:val="0"/>
        <w:rPr>
          <w:rFonts w:ascii="华文中宋" w:hAnsi="华文中宋" w:eastAsia="华文中宋" w:cs="宋体"/>
          <w:b/>
          <w:bCs/>
          <w:spacing w:val="20"/>
          <w:kern w:val="44"/>
          <w:sz w:val="28"/>
          <w:szCs w:val="28"/>
          <w:u w:val="single"/>
        </w:rPr>
      </w:pPr>
      <w:r>
        <w:rPr>
          <w:rFonts w:hint="eastAsia" w:ascii="Arial" w:hAnsi="Arial" w:cs="Arial"/>
          <w:kern w:val="0"/>
          <w:szCs w:val="21"/>
        </w:rPr>
        <w:t>（</w:t>
      </w:r>
      <w:bookmarkStart w:id="6" w:name="_Toc352761928"/>
      <w:bookmarkStart w:id="7" w:name="_Toc3746"/>
      <w:r>
        <w:rPr>
          <w:rFonts w:hint="eastAsia" w:cs="宋体"/>
          <w:b/>
          <w:bCs/>
          <w:kern w:val="44"/>
          <w:sz w:val="28"/>
          <w:szCs w:val="20"/>
          <w:u w:val="single"/>
        </w:rPr>
        <w:t>第二部分投标人须知前附表</w:t>
      </w:r>
      <w:bookmarkEnd w:id="6"/>
      <w:bookmarkEnd w:id="7"/>
    </w:p>
    <w:tbl>
      <w:tblPr>
        <w:tblStyle w:val="59"/>
        <w:tblW w:w="9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799"/>
        <w:gridCol w:w="7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b/>
                <w:szCs w:val="21"/>
              </w:rPr>
            </w:pPr>
            <w:r>
              <w:rPr>
                <w:rFonts w:hint="eastAsia" w:ascii="宋体" w:hAnsi="宋体"/>
                <w:b/>
                <w:szCs w:val="21"/>
              </w:rPr>
              <w:t>序号</w:t>
            </w:r>
          </w:p>
        </w:tc>
        <w:tc>
          <w:tcPr>
            <w:tcW w:w="179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b/>
                <w:szCs w:val="21"/>
              </w:rPr>
            </w:pPr>
            <w:r>
              <w:rPr>
                <w:rFonts w:hint="eastAsia" w:ascii="宋体" w:hAnsi="宋体"/>
                <w:b/>
                <w:szCs w:val="21"/>
              </w:rPr>
              <w:t>内  容</w:t>
            </w:r>
          </w:p>
        </w:tc>
        <w:tc>
          <w:tcPr>
            <w:tcW w:w="7213"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b/>
                <w:spacing w:val="10"/>
                <w:kern w:val="0"/>
                <w:szCs w:val="21"/>
              </w:rPr>
            </w:pPr>
            <w:r>
              <w:rPr>
                <w:rFonts w:hint="eastAsia" w:ascii="宋体" w:hAnsi="宋体"/>
                <w:b/>
                <w:spacing w:val="10"/>
                <w:kern w:val="0"/>
                <w:szCs w:val="21"/>
              </w:rPr>
              <w:t>说明与要求</w:t>
            </w:r>
          </w:p>
          <w:p>
            <w:pPr>
              <w:snapToGrid w:val="0"/>
              <w:spacing w:line="390" w:lineRule="exact"/>
              <w:jc w:val="center"/>
              <w:rPr>
                <w:rFonts w:ascii="宋体"/>
                <w:b/>
                <w:spacing w:val="10"/>
                <w:kern w:val="0"/>
                <w:szCs w:val="21"/>
              </w:rPr>
            </w:pPr>
            <w:r>
              <w:rPr>
                <w:rFonts w:hint="eastAsia" w:ascii="宋体" w:hAnsi="宋体"/>
                <w:b/>
                <w:kern w:val="0"/>
                <w:szCs w:val="21"/>
              </w:rPr>
              <w:t>（</w:t>
            </w:r>
            <w:r>
              <w:rPr>
                <w:rFonts w:hint="eastAsia" w:ascii="宋体" w:hAnsi="Courier New"/>
                <w:b/>
                <w:spacing w:val="10"/>
                <w:szCs w:val="21"/>
              </w:rPr>
              <w:t>其中加★项目若有缺失或无效，将导致投标无效且不允许在开标后补正</w:t>
            </w:r>
            <w:r>
              <w:rPr>
                <w:rFonts w:hint="eastAsia" w:ascii="宋体" w:hAnsi="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b/>
                <w:szCs w:val="21"/>
              </w:rPr>
            </w:pPr>
            <w:r>
              <w:rPr>
                <w:rFonts w:hint="eastAsia" w:ascii="宋体" w:hAnsi="宋体"/>
                <w:b/>
                <w:szCs w:val="21"/>
              </w:rPr>
              <w:t>1</w:t>
            </w:r>
          </w:p>
        </w:tc>
        <w:tc>
          <w:tcPr>
            <w:tcW w:w="1799" w:type="dxa"/>
            <w:tcBorders>
              <w:top w:val="single" w:color="auto" w:sz="4" w:space="0"/>
              <w:left w:val="single" w:color="auto" w:sz="4" w:space="0"/>
              <w:bottom w:val="single" w:color="auto" w:sz="4" w:space="0"/>
              <w:right w:val="single" w:color="auto" w:sz="4" w:space="0"/>
            </w:tcBorders>
            <w:vAlign w:val="center"/>
          </w:tcPr>
          <w:p>
            <w:pPr>
              <w:keepNext/>
              <w:keepLines/>
              <w:tabs>
                <w:tab w:val="left" w:pos="420"/>
                <w:tab w:val="left" w:pos="2340"/>
                <w:tab w:val="left" w:pos="2880"/>
              </w:tabs>
              <w:adjustRightInd w:val="0"/>
              <w:snapToGrid w:val="0"/>
              <w:spacing w:before="100" w:after="100" w:line="390" w:lineRule="exact"/>
              <w:outlineLvl w:val="3"/>
              <w:rPr>
                <w:rFonts w:ascii="宋体"/>
                <w:b/>
                <w:szCs w:val="21"/>
              </w:rPr>
            </w:pPr>
            <w:r>
              <w:rPr>
                <w:rFonts w:hint="eastAsia" w:ascii="宋体" w:hAnsi="宋体"/>
                <w:b/>
                <w:szCs w:val="21"/>
              </w:rPr>
              <w:t>投标人应具备的特定资质要求</w:t>
            </w:r>
          </w:p>
        </w:tc>
        <w:tc>
          <w:tcPr>
            <w:tcW w:w="7213"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hint="eastAsia" w:ascii="宋体" w:eastAsia="宋体"/>
                <w:spacing w:val="10"/>
                <w:kern w:val="0"/>
                <w:szCs w:val="21"/>
                <w:lang w:eastAsia="zh-CN"/>
              </w:rPr>
            </w:pPr>
            <w:r>
              <w:rPr>
                <w:rFonts w:hint="eastAsia" w:ascii="宋体"/>
                <w:spacing w:val="10"/>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b/>
                <w:szCs w:val="21"/>
              </w:rPr>
            </w:pPr>
            <w:r>
              <w:rPr>
                <w:rFonts w:hint="eastAsia" w:ascii="宋体" w:hAnsi="宋体"/>
                <w:b/>
                <w:szCs w:val="21"/>
              </w:rPr>
              <w:t>2</w:t>
            </w:r>
          </w:p>
        </w:tc>
        <w:tc>
          <w:tcPr>
            <w:tcW w:w="1799" w:type="dxa"/>
            <w:tcBorders>
              <w:top w:val="single" w:color="auto" w:sz="4" w:space="0"/>
              <w:left w:val="single" w:color="auto" w:sz="4" w:space="0"/>
              <w:bottom w:val="single" w:color="auto" w:sz="4" w:space="0"/>
              <w:right w:val="single" w:color="auto" w:sz="4" w:space="0"/>
            </w:tcBorders>
            <w:vAlign w:val="center"/>
          </w:tcPr>
          <w:p>
            <w:pPr>
              <w:keepNext/>
              <w:keepLines/>
              <w:tabs>
                <w:tab w:val="left" w:pos="420"/>
                <w:tab w:val="left" w:pos="2340"/>
                <w:tab w:val="left" w:pos="2880"/>
              </w:tabs>
              <w:adjustRightInd w:val="0"/>
              <w:snapToGrid w:val="0"/>
              <w:spacing w:before="100" w:after="100" w:line="390" w:lineRule="exact"/>
              <w:jc w:val="left"/>
              <w:outlineLvl w:val="3"/>
              <w:rPr>
                <w:rFonts w:ascii="宋体"/>
                <w:b/>
                <w:szCs w:val="21"/>
                <w:highlight w:val="none"/>
              </w:rPr>
            </w:pPr>
            <w:r>
              <w:rPr>
                <w:rFonts w:hint="eastAsia" w:ascii="宋体" w:hAnsi="宋体"/>
                <w:b/>
                <w:szCs w:val="21"/>
                <w:highlight w:val="none"/>
              </w:rPr>
              <w:t>是否允许代理商投标</w:t>
            </w:r>
          </w:p>
        </w:tc>
        <w:tc>
          <w:tcPr>
            <w:tcW w:w="7213"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Courier New"/>
                <w:kern w:val="0"/>
                <w:szCs w:val="21"/>
                <w:highlight w:val="none"/>
              </w:rPr>
            </w:pPr>
            <w:r>
              <w:rPr>
                <w:rFonts w:hint="eastAsia" w:ascii="宋体" w:hAnsi="宋体"/>
                <w:spacing w:val="1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b/>
                <w:szCs w:val="21"/>
              </w:rPr>
            </w:pPr>
            <w:r>
              <w:rPr>
                <w:rFonts w:hint="eastAsia" w:ascii="宋体" w:hAnsi="宋体"/>
                <w:b/>
                <w:szCs w:val="21"/>
              </w:rPr>
              <w:t>3</w:t>
            </w:r>
          </w:p>
        </w:tc>
        <w:tc>
          <w:tcPr>
            <w:tcW w:w="179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rPr>
                <w:rFonts w:ascii="宋体"/>
                <w:b/>
                <w:szCs w:val="21"/>
              </w:rPr>
            </w:pPr>
            <w:r>
              <w:rPr>
                <w:rFonts w:hint="eastAsia" w:ascii="宋体" w:hAnsi="宋体"/>
                <w:b/>
                <w:szCs w:val="21"/>
              </w:rPr>
              <w:t>是否允许联合体投标</w:t>
            </w:r>
          </w:p>
        </w:tc>
        <w:tc>
          <w:tcPr>
            <w:tcW w:w="7213"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hAnsi="Courier New"/>
                <w:kern w:val="0"/>
                <w:szCs w:val="21"/>
              </w:rPr>
            </w:pPr>
            <w:r>
              <w:rPr>
                <w:rFonts w:hint="eastAsia" w:ascii="宋体" w:hAnsi="宋体"/>
                <w:spacing w:val="1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b/>
                <w:szCs w:val="21"/>
              </w:rPr>
            </w:pPr>
            <w:r>
              <w:rPr>
                <w:rFonts w:hint="eastAsia" w:ascii="宋体" w:hAnsi="宋体"/>
                <w:b/>
                <w:szCs w:val="21"/>
              </w:rPr>
              <w:t>5</w:t>
            </w:r>
          </w:p>
        </w:tc>
        <w:tc>
          <w:tcPr>
            <w:tcW w:w="179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ind w:firstLine="105" w:firstLineChars="50"/>
              <w:jc w:val="center"/>
              <w:rPr>
                <w:rFonts w:hint="eastAsia" w:ascii="宋体" w:hAnsi="宋体" w:eastAsia="宋体" w:cs="宋体"/>
                <w:b/>
                <w:szCs w:val="21"/>
                <w:lang w:eastAsia="zh-CN"/>
              </w:rPr>
            </w:pPr>
            <w:r>
              <w:rPr>
                <w:rFonts w:hint="eastAsia" w:ascii="宋体" w:hAnsi="宋体" w:cs="宋体"/>
                <w:b/>
                <w:szCs w:val="21"/>
                <w:lang w:eastAsia="zh-CN"/>
              </w:rPr>
              <w:t>投标文件</w:t>
            </w:r>
          </w:p>
          <w:p>
            <w:pPr>
              <w:snapToGrid w:val="0"/>
              <w:spacing w:line="390" w:lineRule="exact"/>
              <w:rPr>
                <w:rFonts w:ascii="宋体"/>
                <w:b/>
                <w:szCs w:val="21"/>
              </w:rPr>
            </w:pPr>
            <w:r>
              <w:rPr>
                <w:rFonts w:hint="eastAsia" w:ascii="宋体" w:hAnsi="宋体" w:eastAsia="宋体" w:cs="宋体"/>
                <w:b/>
                <w:szCs w:val="21"/>
              </w:rPr>
              <w:t>（资格证明文件）</w:t>
            </w:r>
          </w:p>
        </w:tc>
        <w:tc>
          <w:tcPr>
            <w:tcW w:w="7213" w:type="dxa"/>
            <w:tcBorders>
              <w:top w:val="single" w:color="auto" w:sz="4" w:space="0"/>
              <w:left w:val="single" w:color="auto" w:sz="4" w:space="0"/>
              <w:bottom w:val="single" w:color="auto" w:sz="4" w:space="0"/>
              <w:right w:val="single" w:color="auto" w:sz="4" w:space="0"/>
            </w:tcBorders>
            <w:vAlign w:val="center"/>
          </w:tcPr>
          <w:p>
            <w:pPr>
              <w:pStyle w:val="106"/>
              <w:snapToGrid w:val="0"/>
              <w:spacing w:line="360" w:lineRule="exact"/>
              <w:ind w:firstLine="482" w:firstLineChars="200"/>
              <w:textAlignment w:val="auto"/>
              <w:rPr>
                <w:rFonts w:hint="eastAsia"/>
              </w:rPr>
            </w:pPr>
            <w:r>
              <w:rPr>
                <w:rFonts w:hint="eastAsia"/>
              </w:rPr>
              <w:t>加★项为实质性响应条款。</w:t>
            </w:r>
          </w:p>
          <w:p>
            <w:pPr>
              <w:spacing w:line="360" w:lineRule="exact"/>
              <w:ind w:left="315" w:hanging="315" w:hangingChars="150"/>
              <w:jc w:val="left"/>
              <w:rPr>
                <w:rFonts w:hint="eastAsia"/>
              </w:rPr>
            </w:pPr>
            <w:r>
              <w:rPr>
                <w:rFonts w:hint="eastAsia"/>
              </w:rPr>
              <w:t>1、★</w:t>
            </w:r>
            <w:r>
              <w:rPr>
                <w:rFonts w:hint="eastAsia"/>
                <w:lang w:eastAsia="zh-CN"/>
              </w:rPr>
              <w:t>投标人</w:t>
            </w:r>
            <w:r>
              <w:rPr>
                <w:rFonts w:hint="eastAsia"/>
              </w:rPr>
              <w:t>代表证明</w:t>
            </w:r>
          </w:p>
          <w:p>
            <w:pPr>
              <w:spacing w:line="360" w:lineRule="exact"/>
              <w:rPr>
                <w:rFonts w:hint="eastAsia"/>
              </w:rPr>
            </w:pPr>
            <w:r>
              <w:rPr>
                <w:rFonts w:hint="eastAsia"/>
              </w:rPr>
              <w:t>（1）法定代表人（负责人）参加</w:t>
            </w:r>
            <w:r>
              <w:rPr>
                <w:rFonts w:hint="eastAsia"/>
                <w:lang w:eastAsia="zh-CN"/>
              </w:rPr>
              <w:t>投标</w:t>
            </w:r>
            <w:r>
              <w:rPr>
                <w:rFonts w:hint="eastAsia"/>
              </w:rPr>
              <w:t>的，提供“法定代表人（负责人）证明书”</w:t>
            </w:r>
          </w:p>
          <w:p>
            <w:pPr>
              <w:spacing w:line="360" w:lineRule="exact"/>
              <w:rPr>
                <w:rFonts w:hint="eastAsia"/>
              </w:rPr>
            </w:pPr>
            <w:r>
              <w:rPr>
                <w:rFonts w:hint="eastAsia"/>
              </w:rPr>
              <w:t>（2）委托代理人参加投标的除提供“法定代表人（负责人）证明书”外还应提供“法定代表人（负责人）授权委托书”</w:t>
            </w:r>
          </w:p>
          <w:p>
            <w:pPr>
              <w:spacing w:line="360" w:lineRule="exact"/>
              <w:rPr>
                <w:rFonts w:hint="eastAsia"/>
                <w:lang w:eastAsia="zh-CN"/>
              </w:rPr>
            </w:pPr>
            <w:r>
              <w:rPr>
                <w:rFonts w:hint="eastAsia"/>
              </w:rPr>
              <w:t>（3）自然人参加</w:t>
            </w:r>
            <w:r>
              <w:rPr>
                <w:rFonts w:hint="eastAsia"/>
                <w:lang w:eastAsia="zh-CN"/>
              </w:rPr>
              <w:t>投标的</w:t>
            </w:r>
            <w:r>
              <w:rPr>
                <w:rFonts w:hint="eastAsia"/>
              </w:rPr>
              <w:t>，提供个人身份证明</w:t>
            </w:r>
            <w:r>
              <w:rPr>
                <w:rFonts w:hint="eastAsia"/>
                <w:lang w:eastAsia="zh-CN"/>
              </w:rPr>
              <w:t>复印件</w:t>
            </w:r>
          </w:p>
          <w:p>
            <w:pPr>
              <w:spacing w:line="360" w:lineRule="exact"/>
              <w:rPr>
                <w:rFonts w:hint="eastAsia"/>
              </w:rPr>
            </w:pPr>
            <w:r>
              <w:rPr>
                <w:rFonts w:hint="eastAsia"/>
              </w:rPr>
              <w:t>（ 格式见</w:t>
            </w:r>
            <w:r>
              <w:rPr>
                <w:rFonts w:hint="eastAsia"/>
                <w:lang w:eastAsia="zh-CN"/>
              </w:rPr>
              <w:t>第八部</w:t>
            </w:r>
            <w:r>
              <w:rPr>
                <w:rFonts w:hint="eastAsia"/>
              </w:rPr>
              <w:t>分）</w:t>
            </w:r>
          </w:p>
          <w:p>
            <w:pPr>
              <w:spacing w:line="360" w:lineRule="exact"/>
              <w:jc w:val="left"/>
              <w:rPr>
                <w:rFonts w:hint="eastAsia" w:ascii="宋体" w:hAnsi="宋体" w:eastAsia="宋体" w:cs="宋体"/>
                <w:sz w:val="24"/>
                <w:szCs w:val="24"/>
                <w:lang w:eastAsia="zh-CN"/>
              </w:rPr>
            </w:pPr>
            <w:r>
              <w:rPr>
                <w:rFonts w:hint="eastAsia"/>
              </w:rPr>
              <w:t>2、</w:t>
            </w:r>
            <w:r>
              <w:rPr>
                <w:rFonts w:hint="eastAsia" w:ascii="宋体" w:hAnsi="宋体" w:eastAsia="宋体" w:cs="宋体"/>
                <w:sz w:val="24"/>
                <w:szCs w:val="24"/>
              </w:rPr>
              <w:t>★</w:t>
            </w:r>
            <w:r>
              <w:rPr>
                <w:rFonts w:hint="eastAsia" w:ascii="宋体" w:hAnsi="宋体" w:eastAsia="宋体" w:cs="宋体"/>
                <w:b/>
                <w:bCs/>
                <w:sz w:val="24"/>
                <w:szCs w:val="24"/>
                <w:lang w:eastAsia="zh-CN"/>
              </w:rPr>
              <w:t>营业执照</w:t>
            </w:r>
            <w:r>
              <w:rPr>
                <w:rFonts w:hint="eastAsia" w:ascii="宋体" w:hAnsi="宋体" w:eastAsia="宋体" w:cs="宋体"/>
                <w:sz w:val="24"/>
                <w:szCs w:val="24"/>
                <w:lang w:eastAsia="zh-CN"/>
              </w:rPr>
              <w:t>：</w:t>
            </w:r>
            <w:r>
              <w:rPr>
                <w:rFonts w:hint="eastAsia" w:ascii="宋体" w:hAnsi="宋体" w:eastAsia="宋体" w:cs="宋体"/>
                <w:sz w:val="24"/>
                <w:szCs w:val="24"/>
              </w:rPr>
              <w:t>具有独立承担民事责任的能力</w:t>
            </w:r>
            <w:r>
              <w:rPr>
                <w:rFonts w:hint="eastAsia" w:ascii="宋体" w:hAnsi="宋体" w:eastAsia="宋体" w:cs="宋体"/>
                <w:sz w:val="24"/>
                <w:szCs w:val="24"/>
                <w:lang w:eastAsia="zh-CN"/>
              </w:rPr>
              <w:t>、</w:t>
            </w:r>
          </w:p>
          <w:p>
            <w:pPr>
              <w:spacing w:line="36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b/>
                <w:bCs/>
                <w:sz w:val="24"/>
                <w:szCs w:val="24"/>
                <w:lang w:eastAsia="zh-CN"/>
              </w:rPr>
              <w:t>财务报告</w:t>
            </w:r>
            <w:r>
              <w:rPr>
                <w:rFonts w:hint="eastAsia" w:ascii="宋体" w:hAnsi="宋体" w:eastAsia="宋体" w:cs="宋体"/>
                <w:sz w:val="24"/>
                <w:szCs w:val="24"/>
                <w:lang w:eastAsia="zh-CN"/>
              </w:rPr>
              <w:t>：</w:t>
            </w:r>
            <w:r>
              <w:rPr>
                <w:rFonts w:hint="eastAsia" w:ascii="宋体" w:hAnsi="宋体" w:eastAsia="宋体" w:cs="宋体"/>
                <w:sz w:val="24"/>
                <w:szCs w:val="24"/>
              </w:rPr>
              <w:t>具有良好的商业信誉和健全的财务会计制度</w:t>
            </w:r>
          </w:p>
          <w:p>
            <w:pPr>
              <w:spacing w:line="36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b/>
                <w:bCs/>
                <w:sz w:val="24"/>
                <w:szCs w:val="24"/>
                <w:lang w:eastAsia="zh-CN"/>
              </w:rPr>
              <w:t>基本资质：</w:t>
            </w:r>
            <w:r>
              <w:rPr>
                <w:rFonts w:hint="eastAsia" w:ascii="宋体" w:hAnsi="宋体" w:eastAsia="宋体" w:cs="宋体"/>
                <w:sz w:val="24"/>
                <w:szCs w:val="24"/>
              </w:rPr>
              <w:t>具有依法缴纳税收</w:t>
            </w:r>
            <w:r>
              <w:rPr>
                <w:rFonts w:hint="eastAsia" w:ascii="宋体" w:hAnsi="宋体" w:eastAsia="宋体" w:cs="宋体"/>
                <w:sz w:val="24"/>
                <w:szCs w:val="24"/>
                <w:lang w:eastAsia="zh-CN"/>
              </w:rPr>
              <w:t>和</w:t>
            </w:r>
            <w:r>
              <w:rPr>
                <w:rFonts w:hint="eastAsia" w:ascii="宋体" w:hAnsi="宋体" w:eastAsia="宋体" w:cs="宋体"/>
                <w:sz w:val="24"/>
                <w:szCs w:val="24"/>
              </w:rPr>
              <w:t>社会保障资金的良好记录</w:t>
            </w:r>
            <w:r>
              <w:rPr>
                <w:rFonts w:hint="eastAsia" w:ascii="宋体" w:hAnsi="宋体" w:eastAsia="宋体" w:cs="宋体"/>
                <w:sz w:val="24"/>
                <w:szCs w:val="24"/>
                <w:lang w:eastAsia="zh-CN"/>
              </w:rPr>
              <w:t>、</w:t>
            </w:r>
          </w:p>
          <w:p>
            <w:pPr>
              <w:spacing w:line="36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b/>
                <w:bCs/>
                <w:sz w:val="24"/>
                <w:szCs w:val="24"/>
                <w:lang w:eastAsia="zh-CN"/>
              </w:rPr>
              <w:t>基本资质：</w:t>
            </w:r>
            <w:r>
              <w:rPr>
                <w:rFonts w:hint="eastAsia" w:ascii="宋体" w:hAnsi="宋体" w:eastAsia="宋体" w:cs="宋体"/>
                <w:sz w:val="24"/>
                <w:szCs w:val="24"/>
              </w:rPr>
              <w:t>具有履行合同所必需的设备和专业技术能力</w:t>
            </w:r>
            <w:r>
              <w:rPr>
                <w:rFonts w:hint="eastAsia" w:ascii="宋体" w:hAnsi="宋体" w:eastAsia="宋体" w:cs="宋体"/>
                <w:sz w:val="24"/>
                <w:szCs w:val="24"/>
                <w:lang w:eastAsia="zh-CN"/>
              </w:rPr>
              <w:t>、</w:t>
            </w:r>
          </w:p>
          <w:p>
            <w:pPr>
              <w:spacing w:line="360" w:lineRule="exact"/>
              <w:jc w:val="left"/>
              <w:rPr>
                <w:rFonts w:hint="eastAsia"/>
              </w:rPr>
            </w:pPr>
            <w:r>
              <w:rPr>
                <w:rFonts w:hint="eastAsia" w:ascii="宋体" w:hAnsi="宋体" w:eastAsia="宋体" w:cs="宋体"/>
                <w:sz w:val="24"/>
                <w:szCs w:val="24"/>
                <w:lang w:val="en-US" w:eastAsia="zh-CN"/>
              </w:rPr>
              <w:t>6、</w:t>
            </w:r>
            <w:r>
              <w:rPr>
                <w:rFonts w:hint="eastAsia" w:ascii="宋体" w:hAnsi="宋体" w:eastAsia="宋体" w:cs="宋体"/>
                <w:b/>
                <w:bCs/>
                <w:sz w:val="24"/>
                <w:szCs w:val="24"/>
              </w:rPr>
              <w:t>★</w:t>
            </w:r>
            <w:r>
              <w:rPr>
                <w:rFonts w:hint="eastAsia" w:ascii="宋体" w:hAnsi="宋体" w:eastAsia="宋体" w:cs="宋体"/>
                <w:b/>
                <w:bCs/>
                <w:sz w:val="24"/>
                <w:szCs w:val="24"/>
                <w:lang w:eastAsia="zh-CN"/>
              </w:rPr>
              <w:t>基本资质</w:t>
            </w:r>
            <w:r>
              <w:rPr>
                <w:rFonts w:hint="eastAsia" w:ascii="宋体" w:hAnsi="宋体" w:eastAsia="宋体" w:cs="宋体"/>
                <w:sz w:val="24"/>
                <w:szCs w:val="24"/>
                <w:lang w:eastAsia="zh-CN"/>
              </w:rPr>
              <w:t>：</w:t>
            </w:r>
            <w:r>
              <w:rPr>
                <w:rFonts w:hint="eastAsia" w:ascii="宋体" w:hAnsi="宋体" w:eastAsia="宋体" w:cs="宋体"/>
                <w:sz w:val="24"/>
                <w:szCs w:val="24"/>
              </w:rPr>
              <w:t>参加政府采购活动前三年内，在经营活动中没有重大违法记录</w:t>
            </w:r>
            <w:r>
              <w:rPr>
                <w:rFonts w:hint="eastAsia"/>
              </w:rPr>
              <w:t>（格式见</w:t>
            </w:r>
            <w:r>
              <w:rPr>
                <w:rFonts w:hint="eastAsia"/>
                <w:lang w:eastAsia="zh-CN"/>
              </w:rPr>
              <w:t>第八部</w:t>
            </w:r>
            <w:r>
              <w:rPr>
                <w:rFonts w:hint="eastAsia"/>
              </w:rPr>
              <w:t>分）</w:t>
            </w:r>
          </w:p>
          <w:p>
            <w:pPr>
              <w:spacing w:line="460" w:lineRule="exact"/>
              <w:rPr>
                <w:rFonts w:hint="eastAsia" w:ascii="宋体" w:hAnsi="宋体" w:eastAsia="宋体" w:cs="宋体"/>
                <w:sz w:val="24"/>
                <w:szCs w:val="24"/>
                <w:lang w:eastAsia="zh-CN"/>
              </w:rPr>
            </w:pPr>
            <w:r>
              <w:rPr>
                <w:rFonts w:hint="eastAsia"/>
              </w:rPr>
              <w:t>7、</w:t>
            </w:r>
            <w:r>
              <w:rPr>
                <w:rFonts w:hint="eastAsia" w:ascii="宋体" w:hAnsi="宋体" w:eastAsia="宋体" w:cs="宋体"/>
                <w:b/>
                <w:bCs/>
                <w:sz w:val="24"/>
                <w:szCs w:val="24"/>
              </w:rPr>
              <w:t>★基本存款账户</w:t>
            </w:r>
            <w:r>
              <w:rPr>
                <w:rFonts w:hint="eastAsia" w:ascii="宋体" w:hAnsi="宋体" w:eastAsia="宋体" w:cs="宋体"/>
                <w:b/>
                <w:bCs/>
                <w:sz w:val="24"/>
                <w:szCs w:val="24"/>
                <w:lang w:eastAsia="zh-CN"/>
              </w:rPr>
              <w:t>信息</w:t>
            </w:r>
          </w:p>
          <w:p>
            <w:pPr>
              <w:spacing w:line="360" w:lineRule="exact"/>
              <w:jc w:val="left"/>
              <w:rPr>
                <w:rFonts w:hint="eastAsia" w:ascii="宋体" w:hAnsi="宋体" w:eastAsia="宋体" w:cs="宋体"/>
                <w:sz w:val="24"/>
                <w:szCs w:val="24"/>
              </w:rPr>
            </w:pPr>
            <w:r>
              <w:rPr>
                <w:rFonts w:hint="eastAsia" w:ascii="宋体" w:hAnsi="宋体" w:eastAsia="宋体" w:cs="宋体"/>
                <w:sz w:val="24"/>
                <w:szCs w:val="24"/>
              </w:rPr>
              <w:t>提供</w:t>
            </w:r>
            <w:r>
              <w:rPr>
                <w:rFonts w:hint="eastAsia" w:ascii="宋体" w:hAnsi="宋体" w:cs="宋体"/>
                <w:sz w:val="24"/>
                <w:szCs w:val="24"/>
                <w:lang w:eastAsia="zh-CN"/>
              </w:rPr>
              <w:t>投标人</w:t>
            </w:r>
            <w:r>
              <w:rPr>
                <w:rFonts w:hint="eastAsia" w:ascii="宋体" w:hAnsi="宋体" w:eastAsia="宋体" w:cs="宋体"/>
                <w:sz w:val="24"/>
                <w:szCs w:val="24"/>
              </w:rPr>
              <w:t>基本存款账户</w:t>
            </w:r>
            <w:r>
              <w:rPr>
                <w:rFonts w:hint="eastAsia" w:ascii="宋体" w:hAnsi="宋体" w:eastAsia="宋体" w:cs="宋体"/>
                <w:sz w:val="24"/>
                <w:szCs w:val="24"/>
                <w:lang w:eastAsia="zh-CN"/>
              </w:rPr>
              <w:t>信息复印件</w:t>
            </w:r>
            <w:r>
              <w:rPr>
                <w:rFonts w:hint="eastAsia" w:ascii="宋体" w:hAnsi="宋体" w:eastAsia="宋体" w:cs="宋体"/>
                <w:sz w:val="24"/>
                <w:szCs w:val="24"/>
              </w:rPr>
              <w:t>。</w:t>
            </w:r>
          </w:p>
          <w:p>
            <w:pPr>
              <w:spacing w:line="360" w:lineRule="exact"/>
              <w:jc w:val="left"/>
              <w:rPr>
                <w:rFonts w:hint="eastAsia" w:ascii="宋体" w:hAnsi="宋体" w:eastAsia="宋体" w:cs="宋体"/>
                <w:b w:val="0"/>
                <w:bCs w:val="0"/>
                <w:color w:val="auto"/>
                <w:sz w:val="24"/>
                <w:szCs w:val="24"/>
                <w:highlight w:val="none"/>
                <w:lang w:val="en-US" w:eastAsia="zh-CN"/>
              </w:rPr>
            </w:pPr>
            <w:r>
              <w:rPr>
                <w:rFonts w:hint="eastAsia" w:ascii="宋体" w:hAnsi="宋体" w:cs="宋体"/>
                <w:sz w:val="24"/>
                <w:szCs w:val="24"/>
                <w:lang w:val="en-US" w:eastAsia="zh-CN"/>
              </w:rPr>
              <w:t>8、</w:t>
            </w:r>
            <w:r>
              <w:rPr>
                <w:rFonts w:hint="eastAsia" w:ascii="宋体" w:hAnsi="宋体" w:eastAsia="宋体" w:cs="宋体"/>
                <w:color w:val="auto"/>
                <w:sz w:val="21"/>
                <w:szCs w:val="21"/>
                <w:highlight w:val="none"/>
              </w:rPr>
              <w:t>★</w:t>
            </w:r>
            <w:r>
              <w:rPr>
                <w:rFonts w:hint="eastAsia" w:ascii="宋体" w:hAnsi="宋体" w:eastAsia="宋体" w:cs="宋体"/>
                <w:b/>
                <w:color w:val="auto"/>
                <w:sz w:val="21"/>
                <w:szCs w:val="21"/>
                <w:highlight w:val="none"/>
                <w:lang w:val="en-US" w:eastAsia="zh-CN"/>
              </w:rPr>
              <w:t>声明函（格式见第八部份）</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Cs w:val="21"/>
                <w:lang w:val="en-US" w:eastAsia="zh-CN"/>
              </w:rPr>
              <w:t>请供应商按照</w:t>
            </w:r>
            <w:r>
              <w:rPr>
                <w:rFonts w:hint="eastAsia" w:ascii="宋体" w:hAnsi="宋体" w:cs="宋体"/>
                <w:szCs w:val="21"/>
                <w:lang w:val="en-US" w:eastAsia="zh-CN"/>
              </w:rPr>
              <w:t>投标</w:t>
            </w:r>
            <w:r>
              <w:rPr>
                <w:rFonts w:hint="eastAsia" w:ascii="宋体" w:hAnsi="宋体" w:eastAsia="宋体" w:cs="宋体"/>
                <w:szCs w:val="21"/>
                <w:lang w:val="en-US" w:eastAsia="zh-CN"/>
              </w:rPr>
              <w:t>文件中格式提供中小企业声明函或监狱企业证明文件及相关证明材料或残疾人福利性单位声明函。</w:t>
            </w:r>
          </w:p>
          <w:p>
            <w:pPr>
              <w:spacing w:line="400" w:lineRule="exact"/>
              <w:rPr>
                <w:rFonts w:hint="eastAsia"/>
              </w:rPr>
            </w:pPr>
            <w:r>
              <w:rPr>
                <w:rFonts w:hint="eastAsia"/>
                <w:lang w:val="en-US" w:eastAsia="zh-CN"/>
              </w:rPr>
              <w:t>9</w:t>
            </w:r>
            <w:r>
              <w:rPr>
                <w:rFonts w:hint="eastAsia"/>
              </w:rPr>
              <w:t>、</w:t>
            </w:r>
            <w:r>
              <w:rPr>
                <w:rFonts w:hint="eastAsia"/>
                <w:lang w:eastAsia="zh-CN"/>
              </w:rPr>
              <w:t>招标文件</w:t>
            </w:r>
            <w:r>
              <w:rPr>
                <w:rFonts w:hint="eastAsia"/>
              </w:rPr>
              <w:t>要求</w:t>
            </w:r>
            <w:r>
              <w:rPr>
                <w:rFonts w:hint="eastAsia"/>
                <w:lang w:eastAsia="zh-CN"/>
              </w:rPr>
              <w:t>或</w:t>
            </w:r>
            <w:r>
              <w:rPr>
                <w:rFonts w:hint="eastAsia"/>
                <w:lang w:val="en-US" w:eastAsia="zh-CN"/>
              </w:rPr>
              <w:t>投标人</w:t>
            </w:r>
            <w:r>
              <w:rPr>
                <w:rFonts w:hint="eastAsia"/>
              </w:rPr>
              <w:t>认为需要提供的其他资格证明文件</w:t>
            </w:r>
          </w:p>
          <w:p>
            <w:pPr>
              <w:widowControl/>
              <w:spacing w:line="420" w:lineRule="exact"/>
            </w:pPr>
            <w:r>
              <w:rPr>
                <w:rFonts w:hint="eastAsia"/>
              </w:rPr>
              <w:t>说明：</w:t>
            </w:r>
          </w:p>
          <w:p>
            <w:pPr>
              <w:numPr>
                <w:ilvl w:val="0"/>
                <w:numId w:val="0"/>
              </w:numPr>
              <w:ind w:leftChars="0"/>
              <w:rPr>
                <w:rFonts w:hint="eastAsia"/>
              </w:rPr>
            </w:pPr>
            <w:r>
              <w:rPr>
                <w:rFonts w:hint="eastAsia"/>
              </w:rPr>
              <w:t>1、</w:t>
            </w:r>
            <w:r>
              <w:rPr>
                <w:rFonts w:hint="eastAsia" w:ascii="宋体" w:hAnsi="宋体" w:eastAsia="宋体" w:cs="宋体"/>
                <w:b/>
                <w:bCs/>
                <w:sz w:val="24"/>
                <w:szCs w:val="24"/>
              </w:rPr>
              <w:t>第</w:t>
            </w:r>
            <w:r>
              <w:rPr>
                <w:rFonts w:hint="eastAsia" w:ascii="宋体" w:hAnsi="宋体" w:eastAsia="宋体" w:cs="宋体"/>
                <w:b/>
                <w:bCs/>
                <w:sz w:val="24"/>
                <w:szCs w:val="24"/>
                <w:lang w:val="en-US" w:eastAsia="zh-CN"/>
              </w:rPr>
              <w:t>2-6</w:t>
            </w:r>
            <w:r>
              <w:rPr>
                <w:rFonts w:hint="eastAsia" w:ascii="宋体" w:hAnsi="宋体" w:eastAsia="宋体" w:cs="宋体"/>
                <w:b/>
                <w:bCs/>
                <w:sz w:val="24"/>
                <w:szCs w:val="24"/>
              </w:rPr>
              <w:t>项提供《政府集中采购供应商信用承诺书》一份。</w:t>
            </w:r>
          </w:p>
          <w:p>
            <w:pPr>
              <w:numPr>
                <w:ilvl w:val="0"/>
                <w:numId w:val="0"/>
              </w:numPr>
              <w:ind w:leftChars="0"/>
            </w:pPr>
            <w:r>
              <w:rPr>
                <w:rFonts w:hint="eastAsia"/>
                <w:lang w:val="en-US" w:eastAsia="zh-CN"/>
              </w:rPr>
              <w:t>2、</w:t>
            </w:r>
            <w:r>
              <w:rPr>
                <w:rFonts w:hint="eastAsia"/>
              </w:rPr>
              <w:t>加★项目若有缺失或无效，将导致投标无效且不允许在开标后补正；</w:t>
            </w:r>
          </w:p>
          <w:p>
            <w:pPr>
              <w:numPr>
                <w:ilvl w:val="0"/>
                <w:numId w:val="0"/>
              </w:numPr>
              <w:spacing w:line="390" w:lineRule="exact"/>
              <w:ind w:leftChars="0"/>
            </w:pPr>
            <w:r>
              <w:rPr>
                <w:rFonts w:hint="eastAsia"/>
                <w:lang w:val="en-US" w:eastAsia="zh-CN"/>
              </w:rPr>
              <w:t>3、</w:t>
            </w:r>
            <w:r>
              <w:rPr>
                <w:rFonts w:hint="eastAsia"/>
              </w:rPr>
              <w:t>★本条所要求的资格审查文件，作为资格、资质审核的重要依据以采购人和集采机构审核为准。未提供或未通过资格审查文件审核的投标人将做无效投标处理。</w:t>
            </w:r>
          </w:p>
          <w:p>
            <w:pPr>
              <w:numPr>
                <w:ilvl w:val="0"/>
                <w:numId w:val="0"/>
              </w:numPr>
              <w:spacing w:line="390" w:lineRule="exact"/>
              <w:ind w:leftChars="0"/>
              <w:rPr>
                <w:rFonts w:hint="eastAsia"/>
              </w:rPr>
            </w:pPr>
            <w:r>
              <w:rPr>
                <w:rFonts w:hint="eastAsia"/>
                <w:lang w:val="en-US" w:eastAsia="zh-CN"/>
              </w:rPr>
              <w:t>4、</w:t>
            </w:r>
            <w:r>
              <w:rPr>
                <w:rFonts w:hint="eastAsia"/>
              </w:rPr>
              <w:t>开标后，将由采购人和集采机构先审核资格审查文件投标资料。采购人和集采机构审核为无效投标的，</w:t>
            </w:r>
            <w:r>
              <w:rPr>
                <w:rFonts w:hint="eastAsia"/>
                <w:lang w:eastAsia="zh-CN"/>
              </w:rPr>
              <w:t>不再审查</w:t>
            </w:r>
            <w:r>
              <w:rPr>
                <w:rFonts w:hint="eastAsia"/>
              </w:rPr>
              <w:t>投标人除资格审查文件投标资料以外的投标文件，不对无效投标进行唱标报价。</w:t>
            </w:r>
          </w:p>
          <w:p>
            <w:pPr>
              <w:pStyle w:val="52"/>
              <w:ind w:firstLine="422" w:firstLineChars="200"/>
              <w:jc w:val="left"/>
              <w:rPr>
                <w:sz w:val="21"/>
                <w:szCs w:val="21"/>
              </w:rPr>
            </w:pPr>
            <w:r>
              <w:rPr>
                <w:rFonts w:hint="eastAsia" w:ascii="宋体" w:hAnsi="宋体" w:eastAsia="宋体" w:cs="宋体"/>
                <w:b/>
                <w:sz w:val="21"/>
                <w:szCs w:val="21"/>
              </w:rPr>
              <w:t>本项目将根据</w:t>
            </w:r>
            <w:r>
              <w:rPr>
                <w:rFonts w:hint="eastAsia" w:ascii="宋体" w:hAnsi="宋体" w:eastAsia="宋体" w:cs="宋体"/>
                <w:b/>
                <w:sz w:val="21"/>
                <w:szCs w:val="21"/>
                <w:lang w:eastAsia="zh-CN"/>
              </w:rPr>
              <w:t>投标人</w:t>
            </w:r>
            <w:r>
              <w:rPr>
                <w:rFonts w:hint="eastAsia" w:ascii="宋体" w:hAnsi="宋体" w:eastAsia="宋体" w:cs="宋体"/>
                <w:b/>
                <w:sz w:val="21"/>
                <w:szCs w:val="21"/>
              </w:rPr>
              <w:t>提供的上述文件进行资格审查，具体资格审查内容及标准见第五部分。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b/>
                <w:szCs w:val="21"/>
              </w:rPr>
            </w:pPr>
            <w:r>
              <w:rPr>
                <w:rFonts w:hint="eastAsia" w:ascii="宋体" w:hAnsi="宋体"/>
                <w:b/>
                <w:szCs w:val="21"/>
              </w:rPr>
              <w:t>6</w:t>
            </w:r>
          </w:p>
        </w:tc>
        <w:tc>
          <w:tcPr>
            <w:tcW w:w="179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ind w:firstLine="105" w:firstLineChars="50"/>
              <w:jc w:val="center"/>
              <w:rPr>
                <w:rFonts w:hint="eastAsia" w:ascii="宋体" w:hAnsi="宋体" w:eastAsia="宋体" w:cs="宋体"/>
                <w:b/>
                <w:szCs w:val="21"/>
                <w:lang w:eastAsia="zh-CN"/>
              </w:rPr>
            </w:pPr>
            <w:r>
              <w:rPr>
                <w:rFonts w:hint="eastAsia" w:ascii="宋体" w:hAnsi="宋体" w:cs="宋体"/>
                <w:b/>
                <w:szCs w:val="21"/>
                <w:lang w:eastAsia="zh-CN"/>
              </w:rPr>
              <w:t>投标文件</w:t>
            </w:r>
          </w:p>
          <w:p>
            <w:pPr>
              <w:snapToGrid w:val="0"/>
              <w:spacing w:line="390" w:lineRule="exact"/>
              <w:rPr>
                <w:rFonts w:ascii="宋体"/>
                <w:b/>
                <w:szCs w:val="21"/>
              </w:rPr>
            </w:pPr>
            <w:r>
              <w:rPr>
                <w:rFonts w:hint="eastAsia" w:ascii="宋体" w:hAnsi="宋体" w:eastAsia="宋体" w:cs="宋体"/>
                <w:b/>
                <w:szCs w:val="21"/>
              </w:rPr>
              <w:t>（</w:t>
            </w:r>
            <w:r>
              <w:rPr>
                <w:rFonts w:hint="eastAsia" w:ascii="宋体" w:hAnsi="宋体" w:cs="宋体"/>
                <w:b/>
                <w:szCs w:val="21"/>
                <w:lang w:eastAsia="zh-CN"/>
              </w:rPr>
              <w:t>符合性审查</w:t>
            </w:r>
            <w:r>
              <w:rPr>
                <w:rFonts w:hint="eastAsia" w:ascii="宋体" w:hAnsi="宋体" w:eastAsia="宋体" w:cs="宋体"/>
                <w:b/>
                <w:szCs w:val="21"/>
              </w:rPr>
              <w:t>文件）</w:t>
            </w:r>
          </w:p>
        </w:tc>
        <w:tc>
          <w:tcPr>
            <w:tcW w:w="7213" w:type="dxa"/>
            <w:tcBorders>
              <w:top w:val="single" w:color="auto" w:sz="4" w:space="0"/>
              <w:left w:val="single" w:color="auto" w:sz="4" w:space="0"/>
              <w:bottom w:val="single" w:color="auto" w:sz="4" w:space="0"/>
              <w:right w:val="single" w:color="auto" w:sz="4" w:space="0"/>
            </w:tcBorders>
            <w:vAlign w:val="center"/>
          </w:tcPr>
          <w:p>
            <w:pPr>
              <w:pStyle w:val="106"/>
              <w:snapToGrid w:val="0"/>
              <w:spacing w:line="360" w:lineRule="exact"/>
              <w:ind w:firstLine="482" w:firstLineChars="200"/>
              <w:textAlignment w:val="auto"/>
              <w:rPr>
                <w:rFonts w:hint="eastAsia"/>
              </w:rPr>
            </w:pPr>
            <w:r>
              <w:rPr>
                <w:rFonts w:hint="eastAsia"/>
              </w:rPr>
              <w:t>加★项为实质性响应条款。</w:t>
            </w:r>
          </w:p>
          <w:p>
            <w:pPr>
              <w:spacing w:line="360" w:lineRule="auto"/>
              <w:ind w:left="315" w:hanging="315" w:hangingChars="150"/>
              <w:jc w:val="left"/>
              <w:rPr>
                <w:rFonts w:hint="eastAsia"/>
                <w:lang w:eastAsia="zh-CN"/>
              </w:rPr>
            </w:pPr>
            <w:r>
              <w:rPr>
                <w:rFonts w:hint="eastAsia"/>
                <w:lang w:val="en-US" w:eastAsia="zh-CN"/>
              </w:rPr>
              <w:t>1、</w:t>
            </w:r>
            <w:r>
              <w:rPr>
                <w:rFonts w:hint="eastAsia"/>
              </w:rPr>
              <w:t>★对商务要求的响应内容；</w:t>
            </w:r>
          </w:p>
          <w:p>
            <w:pPr>
              <w:spacing w:line="360" w:lineRule="auto"/>
              <w:ind w:left="315" w:hanging="315" w:hangingChars="150"/>
              <w:jc w:val="left"/>
              <w:rPr>
                <w:rFonts w:hint="eastAsia"/>
              </w:rPr>
            </w:pPr>
            <w:r>
              <w:rPr>
                <w:rFonts w:hint="eastAsia"/>
              </w:rPr>
              <w:t>2、★对实质性要求的响应内容；</w:t>
            </w:r>
          </w:p>
          <w:p>
            <w:pPr>
              <w:spacing w:line="360" w:lineRule="auto"/>
              <w:ind w:left="315" w:hanging="315" w:hangingChars="150"/>
              <w:jc w:val="left"/>
              <w:rPr>
                <w:rFonts w:hint="eastAsia"/>
              </w:rPr>
            </w:pPr>
            <w:r>
              <w:rPr>
                <w:rFonts w:hint="eastAsia"/>
              </w:rPr>
              <w:t>3、★对</w:t>
            </w:r>
            <w:r>
              <w:rPr>
                <w:rFonts w:hint="eastAsia"/>
                <w:lang w:eastAsia="zh-CN"/>
              </w:rPr>
              <w:t>技术</w:t>
            </w:r>
            <w:r>
              <w:rPr>
                <w:rFonts w:hint="eastAsia"/>
              </w:rPr>
              <w:t>要求的响应内容；</w:t>
            </w:r>
          </w:p>
          <w:p>
            <w:pPr>
              <w:spacing w:line="360" w:lineRule="auto"/>
              <w:ind w:left="315" w:hanging="315" w:hangingChars="150"/>
              <w:jc w:val="left"/>
              <w:rPr>
                <w:rFonts w:hint="eastAsia"/>
              </w:rPr>
            </w:pPr>
            <w:r>
              <w:rPr>
                <w:rFonts w:hint="eastAsia"/>
                <w:lang w:val="en-US" w:eastAsia="zh-CN"/>
              </w:rPr>
              <w:t>4、</w:t>
            </w:r>
            <w:r>
              <w:rPr>
                <w:rFonts w:hint="eastAsia"/>
              </w:rPr>
              <w:t>对非实质性要求的响应内容；</w:t>
            </w:r>
          </w:p>
          <w:p>
            <w:pPr>
              <w:numPr>
                <w:ilvl w:val="0"/>
                <w:numId w:val="0"/>
              </w:numPr>
              <w:rPr>
                <w:rFonts w:hint="eastAsia"/>
                <w:lang w:val="en-US" w:eastAsia="zh-CN"/>
              </w:rPr>
            </w:pPr>
            <w:r>
              <w:rPr>
                <w:rFonts w:hint="eastAsia"/>
                <w:lang w:val="en-US" w:eastAsia="zh-CN"/>
              </w:rPr>
              <w:t>5、</w:t>
            </w:r>
            <w:r>
              <w:rPr>
                <w:rFonts w:hint="eastAsia"/>
                <w:lang w:eastAsia="zh-CN"/>
              </w:rPr>
              <w:t>招标</w:t>
            </w:r>
            <w:r>
              <w:rPr>
                <w:rFonts w:hint="eastAsia"/>
              </w:rPr>
              <w:t>文件要求或</w:t>
            </w:r>
            <w:r>
              <w:rPr>
                <w:rFonts w:hint="eastAsia"/>
                <w:lang w:eastAsia="zh-CN"/>
              </w:rPr>
              <w:t>报价</w:t>
            </w:r>
            <w:r>
              <w:rPr>
                <w:rFonts w:hint="eastAsia"/>
              </w:rPr>
              <w:t>供应商认为需要提供的其他商务技术材料/文件</w:t>
            </w:r>
          </w:p>
          <w:p>
            <w:pPr>
              <w:widowControl/>
              <w:spacing w:line="420" w:lineRule="exact"/>
            </w:pPr>
            <w:r>
              <w:rPr>
                <w:rFonts w:hint="eastAsia"/>
              </w:rPr>
              <w:t>说明：</w:t>
            </w:r>
          </w:p>
          <w:p>
            <w:r>
              <w:t>1</w:t>
            </w:r>
            <w:r>
              <w:rPr>
                <w:rFonts w:hint="eastAsia"/>
              </w:rPr>
              <w:t>、加★项目若有缺失或无效，将导致投标无效且不允许在开标后补正；</w:t>
            </w:r>
          </w:p>
          <w:p>
            <w:pPr>
              <w:spacing w:line="390" w:lineRule="exact"/>
            </w:pPr>
            <w:r>
              <w:t>2</w:t>
            </w:r>
            <w:r>
              <w:rPr>
                <w:rFonts w:hint="eastAsia"/>
              </w:rPr>
              <w:t>、★本条所要求的</w:t>
            </w:r>
            <w:r>
              <w:rPr>
                <w:rFonts w:hint="eastAsia"/>
                <w:lang w:eastAsia="zh-CN"/>
              </w:rPr>
              <w:t>符合性审查文件</w:t>
            </w:r>
            <w:r>
              <w:rPr>
                <w:rFonts w:hint="eastAsia"/>
              </w:rPr>
              <w:t>，作为</w:t>
            </w:r>
            <w:r>
              <w:rPr>
                <w:rFonts w:hint="eastAsia"/>
                <w:lang w:eastAsia="zh-CN"/>
              </w:rPr>
              <w:t>商务技术</w:t>
            </w:r>
            <w:r>
              <w:rPr>
                <w:rFonts w:hint="eastAsia"/>
              </w:rPr>
              <w:t>审核的重要依据，以</w:t>
            </w:r>
            <w:r>
              <w:rPr>
                <w:rFonts w:hint="eastAsia"/>
                <w:lang w:eastAsia="zh-CN"/>
              </w:rPr>
              <w:t>评审小组</w:t>
            </w:r>
            <w:r>
              <w:rPr>
                <w:rFonts w:hint="eastAsia"/>
              </w:rPr>
              <w:t>审核为准。未提供或未通过</w:t>
            </w:r>
            <w:r>
              <w:rPr>
                <w:rFonts w:hint="eastAsia"/>
                <w:lang w:eastAsia="zh-CN"/>
              </w:rPr>
              <w:t>符合性审查文件</w:t>
            </w:r>
            <w:r>
              <w:rPr>
                <w:rFonts w:hint="eastAsia"/>
              </w:rPr>
              <w:t>审核的投标人将做无效投标处理。</w:t>
            </w:r>
          </w:p>
          <w:p>
            <w:pPr>
              <w:spacing w:line="390" w:lineRule="exact"/>
              <w:rPr>
                <w:rFonts w:hint="eastAsia"/>
              </w:rPr>
            </w:pPr>
            <w:r>
              <w:rPr>
                <w:rFonts w:hint="eastAsia"/>
                <w:lang w:val="en-US" w:eastAsia="zh-CN"/>
              </w:rPr>
              <w:t>3、</w:t>
            </w:r>
            <w:r>
              <w:rPr>
                <w:rFonts w:hint="eastAsia"/>
              </w:rPr>
              <w:t>资格审查通过后的投标人，</w:t>
            </w:r>
            <w:r>
              <w:rPr>
                <w:rFonts w:hint="eastAsia"/>
                <w:lang w:eastAsia="zh-CN"/>
              </w:rPr>
              <w:t>评审小组</w:t>
            </w:r>
            <w:r>
              <w:rPr>
                <w:rFonts w:hint="eastAsia"/>
              </w:rPr>
              <w:t>对其</w:t>
            </w:r>
            <w:r>
              <w:rPr>
                <w:rFonts w:hint="eastAsia"/>
                <w:lang w:eastAsia="zh-CN"/>
              </w:rPr>
              <w:t>符合性审查文件</w:t>
            </w:r>
            <w:r>
              <w:rPr>
                <w:rFonts w:hint="eastAsia"/>
              </w:rPr>
              <w:t>投标资料进行审查。</w:t>
            </w:r>
            <w:r>
              <w:rPr>
                <w:rFonts w:hint="eastAsia"/>
                <w:lang w:eastAsia="zh-CN"/>
              </w:rPr>
              <w:t>评审小组</w:t>
            </w:r>
            <w:r>
              <w:rPr>
                <w:rFonts w:hint="eastAsia"/>
              </w:rPr>
              <w:t>审核为无效投标的，</w:t>
            </w:r>
            <w:r>
              <w:rPr>
                <w:rFonts w:hint="eastAsia"/>
                <w:lang w:eastAsia="zh-CN"/>
              </w:rPr>
              <w:t>不再审查</w:t>
            </w:r>
            <w:r>
              <w:rPr>
                <w:rFonts w:hint="eastAsia"/>
              </w:rPr>
              <w:t>投标人除资格审查文件</w:t>
            </w:r>
            <w:r>
              <w:rPr>
                <w:rFonts w:hint="eastAsia"/>
                <w:lang w:eastAsia="zh-CN"/>
              </w:rPr>
              <w:t>和符合性审查文件</w:t>
            </w:r>
            <w:r>
              <w:rPr>
                <w:rFonts w:hint="eastAsia"/>
              </w:rPr>
              <w:t>投标资料以外的投标文件，不对无效投标进行唱标报价。</w:t>
            </w:r>
          </w:p>
          <w:p>
            <w:pPr>
              <w:spacing w:line="360" w:lineRule="auto"/>
              <w:ind w:left="315" w:hanging="316" w:hangingChars="150"/>
              <w:jc w:val="left"/>
              <w:rPr>
                <w:rFonts w:hint="eastAsia" w:ascii="宋体" w:hAnsi="宋体" w:eastAsia="宋体" w:cs="宋体"/>
                <w:b/>
                <w:sz w:val="21"/>
                <w:szCs w:val="21"/>
              </w:rPr>
            </w:pPr>
            <w:r>
              <w:rPr>
                <w:rFonts w:hint="eastAsia" w:ascii="宋体" w:hAnsi="宋体" w:eastAsia="宋体" w:cs="宋体"/>
                <w:b/>
                <w:sz w:val="21"/>
                <w:szCs w:val="21"/>
              </w:rPr>
              <w:t>以上内容涉及的格式资料详见第八部分；</w:t>
            </w:r>
          </w:p>
          <w:p>
            <w:pPr>
              <w:pStyle w:val="52"/>
              <w:jc w:val="left"/>
              <w:rPr>
                <w:sz w:val="21"/>
                <w:szCs w:val="21"/>
              </w:rPr>
            </w:pPr>
            <w:r>
              <w:rPr>
                <w:rFonts w:hint="eastAsia" w:ascii="宋体" w:hAnsi="宋体" w:eastAsia="宋体" w:cs="宋体"/>
                <w:b/>
                <w:sz w:val="21"/>
                <w:szCs w:val="21"/>
              </w:rPr>
              <w:t>以上涉及相关要求的内容见本文件第四部分相对应内容。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b/>
                <w:szCs w:val="21"/>
              </w:rPr>
            </w:pPr>
            <w:r>
              <w:rPr>
                <w:rFonts w:hint="eastAsia" w:ascii="宋体" w:hAnsi="宋体"/>
                <w:b/>
                <w:szCs w:val="21"/>
              </w:rPr>
              <w:t>7</w:t>
            </w:r>
          </w:p>
        </w:tc>
        <w:tc>
          <w:tcPr>
            <w:tcW w:w="179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rPr>
                <w:rFonts w:ascii="宋体"/>
                <w:b/>
                <w:szCs w:val="21"/>
              </w:rPr>
            </w:pPr>
            <w:r>
              <w:rPr>
                <w:rFonts w:hint="eastAsia" w:ascii="宋体" w:hAnsi="宋体"/>
                <w:spacing w:val="10"/>
                <w:kern w:val="0"/>
                <w:szCs w:val="21"/>
              </w:rPr>
              <w:t>开标报价</w:t>
            </w:r>
          </w:p>
        </w:tc>
        <w:tc>
          <w:tcPr>
            <w:tcW w:w="721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pacing w:val="10"/>
                <w:kern w:val="0"/>
                <w:szCs w:val="21"/>
              </w:rPr>
            </w:pPr>
            <w:r>
              <w:rPr>
                <w:rFonts w:hint="eastAsia" w:ascii="宋体" w:hAnsi="宋体"/>
                <w:spacing w:val="10"/>
                <w:kern w:val="0"/>
                <w:szCs w:val="21"/>
              </w:rPr>
              <w:t>★开标报价一览表；</w:t>
            </w:r>
          </w:p>
          <w:p>
            <w:pPr>
              <w:rPr>
                <w:rFonts w:ascii="宋体"/>
                <w:spacing w:val="10"/>
                <w:kern w:val="0"/>
                <w:szCs w:val="21"/>
              </w:rPr>
            </w:pPr>
            <w:r>
              <w:rPr>
                <w:rFonts w:hint="eastAsia" w:ascii="宋体" w:hAnsi="宋体"/>
                <w:spacing w:val="10"/>
                <w:kern w:val="0"/>
                <w:szCs w:val="21"/>
              </w:rPr>
              <w:t>说明：</w:t>
            </w:r>
          </w:p>
          <w:p>
            <w:pPr>
              <w:rPr>
                <w:rFonts w:ascii="宋体"/>
                <w:spacing w:val="10"/>
                <w:kern w:val="0"/>
                <w:szCs w:val="21"/>
              </w:rPr>
            </w:pPr>
            <w:r>
              <w:rPr>
                <w:rFonts w:ascii="宋体" w:hAnsi="宋体"/>
                <w:spacing w:val="10"/>
                <w:kern w:val="0"/>
                <w:szCs w:val="21"/>
              </w:rPr>
              <w:t>1</w:t>
            </w:r>
            <w:r>
              <w:rPr>
                <w:rFonts w:hint="eastAsia" w:ascii="宋体" w:hAnsi="宋体"/>
                <w:spacing w:val="10"/>
                <w:kern w:val="0"/>
                <w:szCs w:val="21"/>
              </w:rPr>
              <w:t>、加★项目若有缺失或无效，将导致投标无效且不允许在开标后补正；</w:t>
            </w:r>
          </w:p>
          <w:p>
            <w:pPr>
              <w:spacing w:line="390" w:lineRule="exact"/>
              <w:rPr>
                <w:rFonts w:ascii="宋体"/>
                <w:spacing w:val="10"/>
                <w:kern w:val="0"/>
                <w:szCs w:val="21"/>
              </w:rPr>
            </w:pPr>
            <w:r>
              <w:rPr>
                <w:rFonts w:hint="eastAsia" w:ascii="宋体" w:hAnsi="宋体"/>
                <w:spacing w:val="10"/>
                <w:kern w:val="0"/>
                <w:szCs w:val="21"/>
                <w:lang w:val="en-US" w:eastAsia="zh-CN"/>
              </w:rPr>
              <w:t>2</w:t>
            </w:r>
            <w:r>
              <w:rPr>
                <w:rFonts w:hint="eastAsia" w:ascii="宋体" w:hAnsi="宋体"/>
                <w:spacing w:val="10"/>
                <w:kern w:val="0"/>
                <w:szCs w:val="21"/>
              </w:rPr>
              <w:t>、★本项目最高限价即为本项目预算，不得超过，超过最高限价的视为无效投标。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b/>
                <w:szCs w:val="21"/>
              </w:rPr>
            </w:pPr>
            <w:r>
              <w:rPr>
                <w:rFonts w:hint="eastAsia" w:ascii="宋体" w:hAnsi="宋体"/>
                <w:b/>
                <w:szCs w:val="21"/>
              </w:rPr>
              <w:t>8</w:t>
            </w:r>
          </w:p>
        </w:tc>
        <w:tc>
          <w:tcPr>
            <w:tcW w:w="179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rPr>
                <w:rFonts w:ascii="宋体"/>
                <w:b/>
                <w:szCs w:val="21"/>
              </w:rPr>
            </w:pPr>
            <w:r>
              <w:rPr>
                <w:rFonts w:hint="eastAsia" w:ascii="宋体" w:hAnsi="宋体"/>
                <w:b/>
                <w:szCs w:val="21"/>
              </w:rPr>
              <w:t>投标保证金</w:t>
            </w:r>
          </w:p>
        </w:tc>
        <w:tc>
          <w:tcPr>
            <w:tcW w:w="7213"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ind w:firstLine="460" w:firstLineChars="200"/>
              <w:rPr>
                <w:rFonts w:hint="eastAsia" w:ascii="宋体" w:eastAsia="宋体"/>
                <w:spacing w:val="10"/>
                <w:kern w:val="0"/>
                <w:szCs w:val="21"/>
                <w:lang w:eastAsia="zh-CN"/>
              </w:rPr>
            </w:pPr>
            <w:r>
              <w:rPr>
                <w:rFonts w:hint="eastAsia" w:ascii="宋体"/>
                <w:spacing w:val="10"/>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b/>
                <w:szCs w:val="21"/>
              </w:rPr>
            </w:pPr>
            <w:r>
              <w:rPr>
                <w:rFonts w:hint="eastAsia" w:ascii="宋体" w:hAnsi="宋体"/>
                <w:b/>
                <w:szCs w:val="21"/>
              </w:rPr>
              <w:t>9</w:t>
            </w:r>
          </w:p>
        </w:tc>
        <w:tc>
          <w:tcPr>
            <w:tcW w:w="179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rPr>
                <w:rFonts w:ascii="宋体"/>
                <w:b/>
                <w:szCs w:val="21"/>
              </w:rPr>
            </w:pPr>
            <w:r>
              <w:rPr>
                <w:rFonts w:hint="eastAsia" w:ascii="宋体" w:hAnsi="宋体"/>
                <w:b/>
                <w:szCs w:val="21"/>
              </w:rPr>
              <w:t>投标文件有效期</w:t>
            </w:r>
          </w:p>
        </w:tc>
        <w:tc>
          <w:tcPr>
            <w:tcW w:w="7213"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spacing w:val="10"/>
                <w:kern w:val="0"/>
                <w:szCs w:val="21"/>
              </w:rPr>
            </w:pPr>
            <w:r>
              <w:rPr>
                <w:rFonts w:hint="eastAsia" w:ascii="宋体" w:hAnsi="宋体"/>
                <w:spacing w:val="10"/>
                <w:kern w:val="0"/>
                <w:szCs w:val="21"/>
              </w:rPr>
              <w:t>1、投标文件有效期：90个日历天（自递交投标文件之日起计算）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宋体"/>
                <w:b/>
                <w:szCs w:val="21"/>
              </w:rPr>
            </w:pPr>
            <w:r>
              <w:rPr>
                <w:rFonts w:hint="eastAsia" w:ascii="宋体" w:hAnsi="宋体"/>
                <w:b/>
                <w:szCs w:val="21"/>
              </w:rPr>
              <w:t>10</w:t>
            </w:r>
          </w:p>
        </w:tc>
        <w:tc>
          <w:tcPr>
            <w:tcW w:w="179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rPr>
                <w:rFonts w:ascii="宋体"/>
                <w:b/>
                <w:szCs w:val="21"/>
              </w:rPr>
            </w:pPr>
            <w:r>
              <w:rPr>
                <w:rFonts w:hint="eastAsia" w:ascii="宋体" w:hAnsi="宋体"/>
                <w:b/>
                <w:szCs w:val="21"/>
              </w:rPr>
              <w:t>政府采购相关政策要求</w:t>
            </w:r>
          </w:p>
        </w:tc>
        <w:tc>
          <w:tcPr>
            <w:tcW w:w="7213"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400" w:lineRule="exact"/>
              <w:rPr>
                <w:rFonts w:ascii="宋体"/>
                <w:spacing w:val="10"/>
                <w:kern w:val="0"/>
                <w:szCs w:val="21"/>
              </w:rPr>
            </w:pPr>
            <w:r>
              <w:rPr>
                <w:rFonts w:hint="eastAsia" w:ascii="宋体" w:hAnsi="宋体"/>
                <w:spacing w:val="10"/>
                <w:kern w:val="0"/>
                <w:szCs w:val="21"/>
              </w:rPr>
              <w:t>★投标货物未特别注明“进口产品”字样的，均必须采购国产产品，即非“通过中国海关报关验放进入中国境内且产自关境外的产品”，投标产品各项技术标准必须符合国家强制性标准，否则投标无效。</w:t>
            </w:r>
          </w:p>
          <w:p>
            <w:pPr>
              <w:spacing w:line="400" w:lineRule="exact"/>
              <w:rPr>
                <w:rFonts w:ascii="宋体" w:hAnsi="宋体"/>
                <w:spacing w:val="10"/>
                <w:kern w:val="0"/>
                <w:szCs w:val="21"/>
              </w:rPr>
            </w:pPr>
            <w:r>
              <w:rPr>
                <w:rFonts w:hint="eastAsia" w:ascii="宋体" w:hAnsi="宋体"/>
                <w:spacing w:val="10"/>
                <w:kern w:val="0"/>
                <w:szCs w:val="21"/>
              </w:rPr>
              <w:t>2、★本项目涉及“节能产品、环境标志产品品目清单”（本文件所有表述简称为“品目清单”）政府强制采购产品的要求：</w:t>
            </w:r>
          </w:p>
          <w:p>
            <w:pPr>
              <w:spacing w:line="400" w:lineRule="exact"/>
              <w:rPr>
                <w:rFonts w:ascii="宋体" w:hAnsi="宋体"/>
                <w:spacing w:val="10"/>
                <w:kern w:val="0"/>
                <w:szCs w:val="21"/>
              </w:rPr>
            </w:pPr>
            <w:r>
              <w:rPr>
                <w:rFonts w:hint="eastAsia" w:ascii="宋体" w:hAnsi="宋体"/>
                <w:spacing w:val="10"/>
                <w:kern w:val="0"/>
                <w:szCs w:val="21"/>
              </w:rPr>
              <w:t>（1）本项目采购标的物中如包含政府强制采购产品的，投标人必须投报“品目清单”范围内的产品。</w:t>
            </w:r>
          </w:p>
          <w:p>
            <w:pPr>
              <w:spacing w:line="400" w:lineRule="exact"/>
              <w:rPr>
                <w:rFonts w:ascii="宋体" w:hAnsi="宋体"/>
                <w:spacing w:val="10"/>
                <w:kern w:val="0"/>
                <w:szCs w:val="21"/>
              </w:rPr>
            </w:pPr>
            <w:r>
              <w:rPr>
                <w:rFonts w:hint="eastAsia" w:ascii="宋体" w:hAnsi="宋体"/>
                <w:spacing w:val="10"/>
                <w:kern w:val="0"/>
                <w:szCs w:val="21"/>
              </w:rPr>
              <w:t>（2）本文件未列出政府强制采购产品的，投标人可投报“品目清单”中政府优先采购产品或“品目清单”范围以外的产品；</w:t>
            </w:r>
          </w:p>
          <w:p>
            <w:pPr>
              <w:spacing w:line="400" w:lineRule="exact"/>
              <w:rPr>
                <w:rFonts w:ascii="宋体" w:hAnsi="宋体"/>
                <w:spacing w:val="10"/>
                <w:kern w:val="0"/>
                <w:szCs w:val="21"/>
              </w:rPr>
            </w:pPr>
            <w:r>
              <w:rPr>
                <w:rFonts w:hint="eastAsia" w:ascii="宋体" w:hAnsi="宋体"/>
                <w:spacing w:val="10"/>
                <w:kern w:val="0"/>
                <w:szCs w:val="21"/>
              </w:rPr>
              <w:t>（3）投报产品中如包含“品目清单”政府强制采购产品的，需将政府强制采购产品如实填写到《政府强制采购产品明细表》（格式见第八部分），并提供处于有效期之内的节能产品、环境标志产品认证证书扫描件。</w:t>
            </w:r>
          </w:p>
          <w:p>
            <w:pPr>
              <w:spacing w:line="400" w:lineRule="exact"/>
              <w:rPr>
                <w:rFonts w:ascii="宋体" w:hAnsi="宋体"/>
                <w:spacing w:val="10"/>
                <w:kern w:val="0"/>
                <w:szCs w:val="21"/>
              </w:rPr>
            </w:pPr>
            <w:r>
              <w:rPr>
                <w:rFonts w:hint="eastAsia" w:ascii="宋体" w:hAnsi="宋体"/>
                <w:spacing w:val="10"/>
                <w:kern w:val="0"/>
                <w:szCs w:val="21"/>
              </w:rPr>
              <w:t>3、本项目涉及“品目清单”政府优先采购产品的要求：</w:t>
            </w:r>
          </w:p>
          <w:p>
            <w:pPr>
              <w:spacing w:line="400" w:lineRule="exact"/>
              <w:rPr>
                <w:rFonts w:ascii="宋体" w:hAnsi="宋体"/>
                <w:spacing w:val="10"/>
                <w:kern w:val="0"/>
                <w:szCs w:val="21"/>
              </w:rPr>
            </w:pPr>
            <w:r>
              <w:rPr>
                <w:rFonts w:hint="eastAsia" w:ascii="宋体" w:hAnsi="宋体"/>
                <w:spacing w:val="10"/>
                <w:kern w:val="0"/>
                <w:szCs w:val="21"/>
              </w:rPr>
              <w:t>（1）投标货物中有政府优先采购产品的将给予适当加分。</w:t>
            </w:r>
          </w:p>
          <w:p>
            <w:pPr>
              <w:spacing w:line="400" w:lineRule="exact"/>
              <w:rPr>
                <w:rFonts w:ascii="宋体" w:hAnsi="宋体"/>
                <w:spacing w:val="10"/>
                <w:kern w:val="0"/>
                <w:szCs w:val="21"/>
              </w:rPr>
            </w:pPr>
            <w:r>
              <w:rPr>
                <w:rFonts w:hint="eastAsia" w:ascii="宋体" w:hAnsi="宋体"/>
                <w:spacing w:val="10"/>
                <w:kern w:val="0"/>
                <w:szCs w:val="21"/>
              </w:rPr>
              <w:t>（2）投标人须如实填写政府优先采购产品明细表（格式见第</w:t>
            </w:r>
            <w:r>
              <w:rPr>
                <w:rFonts w:hint="eastAsia" w:ascii="宋体" w:hAnsi="宋体"/>
                <w:spacing w:val="10"/>
                <w:kern w:val="0"/>
                <w:szCs w:val="21"/>
                <w:lang w:eastAsia="zh-CN"/>
              </w:rPr>
              <w:t>八</w:t>
            </w:r>
            <w:r>
              <w:rPr>
                <w:rFonts w:hint="eastAsia" w:ascii="宋体" w:hAnsi="宋体"/>
                <w:spacing w:val="10"/>
                <w:kern w:val="0"/>
                <w:szCs w:val="21"/>
              </w:rPr>
              <w:t>部分）。并提供处于有效期之内的节能产品、环境标志产品认证证书扫描件。</w:t>
            </w:r>
          </w:p>
          <w:p>
            <w:pPr>
              <w:spacing w:line="400" w:lineRule="exact"/>
            </w:pPr>
            <w:r>
              <w:rPr>
                <w:rFonts w:hint="eastAsia" w:ascii="宋体" w:hAnsi="宋体"/>
                <w:spacing w:val="10"/>
                <w:kern w:val="0"/>
                <w:szCs w:val="21"/>
              </w:rPr>
              <w:t>4、★本项目所采购的计算机，必须预装正版操作系统软件产品，所采购的其它软件必须为正版软件。否则投标无效。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hint="default" w:ascii="宋体" w:hAnsi="宋体" w:eastAsia="宋体"/>
                <w:b/>
                <w:szCs w:val="21"/>
                <w:lang w:val="en-US" w:eastAsia="zh-CN"/>
              </w:rPr>
            </w:pPr>
            <w:r>
              <w:rPr>
                <w:rFonts w:hint="eastAsia" w:ascii="宋体" w:hAnsi="宋体"/>
                <w:b/>
                <w:szCs w:val="21"/>
                <w:lang w:val="en-US" w:eastAsia="zh-CN"/>
              </w:rPr>
              <w:t>11</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color w:val="FF0000"/>
                <w:kern w:val="2"/>
                <w:sz w:val="21"/>
                <w:szCs w:val="21"/>
                <w:lang w:val="en-US" w:eastAsia="zh-CN" w:bidi="ar-SA"/>
              </w:rPr>
            </w:pPr>
            <w:r>
              <w:rPr>
                <w:rFonts w:hint="eastAsia" w:ascii="宋体" w:hAnsi="宋体" w:eastAsia="宋体" w:cs="宋体"/>
                <w:b/>
                <w:szCs w:val="21"/>
              </w:rPr>
              <w:t>本项目预算金额</w:t>
            </w:r>
          </w:p>
        </w:tc>
        <w:tc>
          <w:tcPr>
            <w:tcW w:w="7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lang w:eastAsia="zh-CN"/>
              </w:rPr>
              <w:t>总预算：</w:t>
            </w:r>
            <w:r>
              <w:rPr>
                <w:rFonts w:hint="eastAsia" w:ascii="宋体" w:hAnsi="宋体" w:cs="宋体"/>
                <w:b w:val="0"/>
                <w:bCs w:val="0"/>
                <w:sz w:val="21"/>
                <w:szCs w:val="21"/>
                <w:lang w:val="en-US" w:eastAsia="zh-CN"/>
              </w:rPr>
              <w:t>肆佰捌拾叁万壹仟肆佰元整（4831400元）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hint="eastAsia" w:ascii="宋体" w:eastAsia="宋体"/>
                <w:b/>
                <w:szCs w:val="21"/>
                <w:lang w:val="en-US" w:eastAsia="zh-CN"/>
              </w:rPr>
            </w:pPr>
            <w:r>
              <w:rPr>
                <w:rFonts w:hint="eastAsia" w:ascii="宋体" w:hAnsi="宋体"/>
                <w:b/>
                <w:szCs w:val="21"/>
              </w:rPr>
              <w:t>1</w:t>
            </w:r>
            <w:r>
              <w:rPr>
                <w:rFonts w:hint="eastAsia" w:ascii="宋体" w:hAnsi="宋体"/>
                <w:b/>
                <w:szCs w:val="21"/>
                <w:lang w:val="en-US" w:eastAsia="zh-CN"/>
              </w:rPr>
              <w:t>2</w:t>
            </w:r>
          </w:p>
        </w:tc>
        <w:tc>
          <w:tcPr>
            <w:tcW w:w="1799"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center"/>
              <w:rPr>
                <w:rFonts w:ascii="Arial" w:hAnsi="Arial" w:cs="Arial"/>
                <w:b/>
                <w:kern w:val="0"/>
                <w:szCs w:val="21"/>
              </w:rPr>
            </w:pPr>
            <w:r>
              <w:rPr>
                <w:rFonts w:hint="eastAsia" w:ascii="Arial" w:hAnsi="Arial" w:cs="Arial"/>
                <w:b/>
                <w:kern w:val="0"/>
                <w:szCs w:val="21"/>
              </w:rPr>
              <w:t>确定中标人方式</w:t>
            </w:r>
          </w:p>
        </w:tc>
        <w:tc>
          <w:tcPr>
            <w:tcW w:w="7213"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Arial" w:hAnsi="Arial" w:cs="Arial"/>
                <w:kern w:val="0"/>
                <w:szCs w:val="21"/>
                <w:highlight w:val="yellow"/>
              </w:rPr>
            </w:pPr>
            <w:r>
              <w:rPr>
                <w:rFonts w:ascii="微软雅黑" w:hAnsi="微软雅黑" w:eastAsia="微软雅黑" w:cs="微软雅黑"/>
                <w:i w:val="0"/>
                <w:iCs w:val="0"/>
                <w:caps w:val="0"/>
                <w:color w:val="333333"/>
                <w:spacing w:val="0"/>
                <w:sz w:val="21"/>
                <w:szCs w:val="21"/>
                <w:shd w:val="clear" w:fill="FFFFFF"/>
              </w:rPr>
              <w:t>由评标委员会</w:t>
            </w:r>
            <w:r>
              <w:rPr>
                <w:rFonts w:hint="eastAsia" w:ascii="微软雅黑" w:hAnsi="微软雅黑" w:eastAsia="微软雅黑" w:cs="微软雅黑"/>
                <w:i w:val="0"/>
                <w:iCs w:val="0"/>
                <w:caps w:val="0"/>
                <w:color w:val="333333"/>
                <w:spacing w:val="0"/>
                <w:sz w:val="21"/>
                <w:szCs w:val="21"/>
                <w:shd w:val="clear" w:fill="FFFFFF"/>
                <w:lang w:eastAsia="zh-CN"/>
              </w:rPr>
              <w:t>直接确定中标</w:t>
            </w:r>
            <w:r>
              <w:rPr>
                <w:rFonts w:ascii="微软雅黑" w:hAnsi="微软雅黑" w:eastAsia="微软雅黑" w:cs="微软雅黑"/>
                <w:i w:val="0"/>
                <w:iCs w:val="0"/>
                <w:caps w:val="0"/>
                <w:color w:val="333333"/>
                <w:spacing w:val="0"/>
                <w:sz w:val="21"/>
                <w:szCs w:val="21"/>
                <w:shd w:val="clear" w:fill="FFFFFF"/>
              </w:rPr>
              <w:t>供应商</w:t>
            </w:r>
          </w:p>
        </w:tc>
      </w:tr>
    </w:tbl>
    <w:p>
      <w:pPr>
        <w:widowControl/>
        <w:spacing w:line="420" w:lineRule="exact"/>
        <w:rPr>
          <w:rFonts w:hint="eastAsia" w:ascii="宋体" w:hAnsi="宋体" w:cs="宋体"/>
          <w:b/>
          <w:bCs/>
          <w:sz w:val="28"/>
          <w:szCs w:val="28"/>
          <w:highlight w:val="none"/>
        </w:rPr>
      </w:pPr>
      <w:bookmarkStart w:id="8" w:name="_Toc10473"/>
      <w:bookmarkStart w:id="9" w:name="_Toc352761941"/>
      <w:bookmarkStart w:id="10" w:name="_Toc352761929"/>
      <w:r>
        <w:rPr>
          <w:rFonts w:hint="eastAsia" w:ascii="宋体" w:hAnsi="宋体" w:cs="宋体"/>
          <w:b/>
          <w:bCs/>
          <w:sz w:val="28"/>
          <w:szCs w:val="28"/>
          <w:highlight w:val="none"/>
        </w:rPr>
        <w:t>注：本表内容与投标人须知内容不一致的，以本表内容为准。</w:t>
      </w:r>
    </w:p>
    <w:bookmarkEnd w:id="8"/>
    <w:bookmarkEnd w:id="9"/>
    <w:bookmarkEnd w:id="10"/>
    <w:p>
      <w:pPr>
        <w:pageBreakBefore/>
        <w:jc w:val="center"/>
        <w:outlineLvl w:val="0"/>
        <w:rPr>
          <w:rFonts w:ascii="华文中宋" w:hAnsi="华文中宋" w:eastAsia="华文中宋"/>
          <w:spacing w:val="20"/>
          <w:szCs w:val="28"/>
        </w:rPr>
      </w:pPr>
      <w:bookmarkStart w:id="11" w:name="_Toc13258"/>
      <w:r>
        <w:rPr>
          <w:rFonts w:hint="eastAsia"/>
          <w:b/>
          <w:sz w:val="28"/>
          <w:szCs w:val="28"/>
        </w:rPr>
        <w:t>第三部分投标人须知</w:t>
      </w:r>
    </w:p>
    <w:p>
      <w:pPr>
        <w:keepNext/>
        <w:keepLines/>
        <w:adjustRightInd w:val="0"/>
        <w:spacing w:beforeLines="10" w:afterLines="10" w:line="480" w:lineRule="exact"/>
        <w:ind w:left="1805"/>
        <w:outlineLvl w:val="1"/>
        <w:rPr>
          <w:rFonts w:ascii="宋体" w:hAnsi="宋体" w:cs="宋体"/>
          <w:b/>
          <w:bCs/>
          <w:spacing w:val="20"/>
          <w:kern w:val="0"/>
          <w:sz w:val="24"/>
        </w:rPr>
      </w:pPr>
      <w:r>
        <w:rPr>
          <w:rFonts w:hint="eastAsia" w:ascii="宋体" w:hAnsi="宋体" w:cs="宋体"/>
          <w:b/>
          <w:bCs/>
          <w:spacing w:val="10"/>
          <w:kern w:val="0"/>
          <w:sz w:val="24"/>
        </w:rPr>
        <w:t>一、总则</w:t>
      </w:r>
    </w:p>
    <w:p>
      <w:pPr>
        <w:adjustRightInd w:val="0"/>
        <w:snapToGrid w:val="0"/>
        <w:spacing w:line="480" w:lineRule="exact"/>
        <w:ind w:left="473"/>
        <w:rPr>
          <w:rFonts w:ascii="宋体" w:hAnsi="宋体" w:cs="宋体"/>
          <w:b/>
          <w:kern w:val="0"/>
          <w:szCs w:val="21"/>
        </w:rPr>
      </w:pPr>
      <w:r>
        <w:rPr>
          <w:rFonts w:hint="eastAsia" w:ascii="宋体" w:hAnsi="宋体" w:cs="宋体"/>
          <w:b/>
          <w:spacing w:val="10"/>
          <w:kern w:val="0"/>
          <w:szCs w:val="21"/>
        </w:rPr>
        <w:t>1.</w:t>
      </w:r>
      <w:r>
        <w:rPr>
          <w:rFonts w:hint="eastAsia" w:ascii="宋体" w:hAnsi="宋体" w:cs="宋体"/>
          <w:b/>
          <w:kern w:val="0"/>
          <w:szCs w:val="21"/>
        </w:rPr>
        <w:t>适用范围</w:t>
      </w:r>
    </w:p>
    <w:p>
      <w:pPr>
        <w:adjustRightInd w:val="0"/>
        <w:snapToGrid w:val="0"/>
        <w:spacing w:line="480" w:lineRule="exact"/>
        <w:ind w:left="473" w:leftChars="225"/>
        <w:rPr>
          <w:rFonts w:ascii="宋体" w:hAnsi="宋体" w:cs="宋体"/>
          <w:kern w:val="0"/>
          <w:szCs w:val="21"/>
        </w:rPr>
      </w:pPr>
      <w:r>
        <w:rPr>
          <w:rFonts w:hint="eastAsia" w:ascii="宋体" w:hAnsi="宋体" w:cs="宋体"/>
          <w:kern w:val="0"/>
          <w:szCs w:val="21"/>
        </w:rPr>
        <w:t>本招标文件适用于本次招投标活动。</w:t>
      </w:r>
    </w:p>
    <w:p>
      <w:pPr>
        <w:adjustRightInd w:val="0"/>
        <w:snapToGrid w:val="0"/>
        <w:spacing w:line="480" w:lineRule="exact"/>
        <w:ind w:left="473"/>
        <w:rPr>
          <w:rFonts w:ascii="宋体" w:hAnsi="宋体" w:cs="宋体"/>
          <w:b/>
          <w:kern w:val="0"/>
          <w:szCs w:val="21"/>
        </w:rPr>
      </w:pPr>
      <w:r>
        <w:rPr>
          <w:rFonts w:hint="eastAsia" w:ascii="宋体" w:hAnsi="宋体" w:cs="宋体"/>
          <w:b/>
          <w:kern w:val="0"/>
          <w:szCs w:val="21"/>
        </w:rPr>
        <w:t>2.定义</w:t>
      </w:r>
    </w:p>
    <w:p>
      <w:pPr>
        <w:adjustRightInd w:val="0"/>
        <w:snapToGrid w:val="0"/>
        <w:spacing w:line="480" w:lineRule="exact"/>
        <w:ind w:left="540"/>
      </w:pPr>
      <w:r>
        <w:rPr>
          <w:rFonts w:hint="eastAsia" w:ascii="宋体" w:hAnsi="宋体" w:cs="宋体"/>
          <w:kern w:val="0"/>
          <w:szCs w:val="21"/>
        </w:rPr>
        <w:t>2.1 “招标货物”指本招标文件中第四部分所表述的所有货物。</w:t>
      </w:r>
    </w:p>
    <w:p>
      <w:pPr>
        <w:adjustRightInd w:val="0"/>
        <w:snapToGrid w:val="0"/>
        <w:spacing w:line="480" w:lineRule="exact"/>
        <w:ind w:left="540"/>
        <w:rPr>
          <w:rFonts w:ascii="宋体" w:hAnsi="宋体" w:cs="宋体"/>
          <w:kern w:val="0"/>
          <w:szCs w:val="21"/>
        </w:rPr>
      </w:pPr>
      <w:r>
        <w:rPr>
          <w:rFonts w:hint="eastAsia" w:ascii="宋体" w:hAnsi="宋体" w:cs="宋体"/>
          <w:kern w:val="0"/>
          <w:szCs w:val="21"/>
        </w:rPr>
        <w:t>2.2 “服务”指本招标文件所表述投标人应当履行的承诺和义务。</w:t>
      </w:r>
    </w:p>
    <w:p>
      <w:pPr>
        <w:adjustRightInd w:val="0"/>
        <w:snapToGrid w:val="0"/>
        <w:spacing w:line="480" w:lineRule="exact"/>
        <w:ind w:left="540"/>
        <w:rPr>
          <w:rFonts w:hint="eastAsia" w:ascii="宋体" w:hAnsi="宋体" w:cs="宋体"/>
          <w:kern w:val="0"/>
          <w:szCs w:val="21"/>
        </w:rPr>
      </w:pPr>
      <w:r>
        <w:rPr>
          <w:rFonts w:hint="eastAsia" w:ascii="宋体" w:hAnsi="宋体" w:cs="宋体"/>
          <w:kern w:val="0"/>
          <w:szCs w:val="21"/>
        </w:rPr>
        <w:t>2.3 “投标人”指符合本招标文件规定并参加投标的供应商。</w:t>
      </w:r>
    </w:p>
    <w:p>
      <w:pPr>
        <w:adjustRightInd w:val="0"/>
        <w:snapToGrid w:val="0"/>
        <w:spacing w:line="480" w:lineRule="exact"/>
        <w:ind w:left="540"/>
        <w:rPr>
          <w:sz w:val="21"/>
          <w:szCs w:val="21"/>
        </w:rPr>
      </w:pPr>
      <w:r>
        <w:rPr>
          <w:rFonts w:hint="eastAsia" w:ascii="宋体" w:hAnsi="宋体" w:eastAsia="宋体" w:cs="宋体"/>
          <w:b w:val="0"/>
          <w:bCs/>
          <w:sz w:val="21"/>
          <w:szCs w:val="21"/>
          <w:lang w:val="en-US" w:eastAsia="zh-CN"/>
        </w:rPr>
        <w:t>2.</w:t>
      </w:r>
      <w:r>
        <w:rPr>
          <w:rFonts w:hint="eastAsia" w:cs="宋体"/>
          <w:b w:val="0"/>
          <w:bCs/>
          <w:sz w:val="21"/>
          <w:szCs w:val="21"/>
          <w:lang w:val="en-US" w:eastAsia="zh-CN"/>
        </w:rPr>
        <w:t>4</w:t>
      </w:r>
      <w:r>
        <w:rPr>
          <w:rFonts w:hint="eastAsia" w:ascii="宋体" w:hAnsi="宋体" w:eastAsia="宋体" w:cs="宋体"/>
          <w:b w:val="0"/>
          <w:bCs/>
          <w:sz w:val="21"/>
          <w:szCs w:val="21"/>
          <w:highlight w:val="none"/>
          <w:lang w:val="en-US" w:eastAsia="zh-CN"/>
        </w:rPr>
        <w:t>“电子签章”指编制</w:t>
      </w:r>
      <w:r>
        <w:rPr>
          <w:rFonts w:hint="eastAsia" w:ascii="宋体" w:hAnsi="宋体" w:cs="宋体"/>
          <w:b w:val="0"/>
          <w:bCs/>
          <w:sz w:val="21"/>
          <w:szCs w:val="21"/>
          <w:highlight w:val="none"/>
          <w:lang w:val="en-US" w:eastAsia="zh-CN"/>
        </w:rPr>
        <w:t>招标</w:t>
      </w:r>
      <w:r>
        <w:rPr>
          <w:rFonts w:hint="eastAsia" w:ascii="宋体" w:hAnsi="宋体" w:eastAsia="宋体" w:cs="宋体"/>
          <w:b w:val="0"/>
          <w:bCs/>
          <w:sz w:val="21"/>
          <w:szCs w:val="21"/>
          <w:highlight w:val="none"/>
          <w:lang w:val="en-US" w:eastAsia="zh-CN"/>
        </w:rPr>
        <w:t>文件时所使用的CA数字证书的电子签章，电子签章包含供应商电子公章、法定代表人电子签章和经授权的本项目的委托代理人电子签章。</w:t>
      </w:r>
    </w:p>
    <w:p>
      <w:pPr>
        <w:adjustRightInd w:val="0"/>
        <w:snapToGrid w:val="0"/>
        <w:spacing w:line="480" w:lineRule="exact"/>
        <w:ind w:left="540"/>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5</w:t>
      </w:r>
      <w:r>
        <w:rPr>
          <w:rFonts w:hint="eastAsia" w:ascii="宋体" w:hAnsi="宋体" w:cs="宋体"/>
          <w:kern w:val="0"/>
          <w:szCs w:val="21"/>
        </w:rPr>
        <w:t xml:space="preserve"> 本招标文件各部分规定的期间以时、日、月、年计算。期间开始的时和日，计算在期间内。</w:t>
      </w:r>
    </w:p>
    <w:p>
      <w:pPr>
        <w:adjustRightInd w:val="0"/>
        <w:snapToGrid w:val="0"/>
        <w:spacing w:line="480" w:lineRule="exact"/>
        <w:ind w:left="473"/>
        <w:rPr>
          <w:rFonts w:ascii="宋体" w:hAnsi="宋体" w:cs="宋体"/>
          <w:b/>
          <w:kern w:val="0"/>
          <w:szCs w:val="21"/>
          <w:u w:val="single"/>
        </w:rPr>
      </w:pPr>
      <w:r>
        <w:rPr>
          <w:rFonts w:hint="eastAsia" w:ascii="宋体" w:hAnsi="宋体" w:cs="宋体"/>
          <w:b/>
          <w:kern w:val="0"/>
          <w:szCs w:val="21"/>
        </w:rPr>
        <w:t xml:space="preserve">3. </w:t>
      </w:r>
      <w:r>
        <w:rPr>
          <w:rFonts w:hint="eastAsia" w:ascii="宋体" w:hAnsi="宋体" w:cs="宋体"/>
          <w:b/>
          <w:kern w:val="0"/>
          <w:szCs w:val="21"/>
          <w:u w:val="single"/>
        </w:rPr>
        <w:t>合格投标人的资格条件</w:t>
      </w:r>
    </w:p>
    <w:p>
      <w:pPr>
        <w:tabs>
          <w:tab w:val="left" w:pos="-180"/>
        </w:tabs>
        <w:adjustRightInd w:val="0"/>
        <w:snapToGrid w:val="0"/>
        <w:spacing w:line="480" w:lineRule="exact"/>
        <w:ind w:left="540"/>
        <w:rPr>
          <w:rFonts w:ascii="宋体" w:hAnsi="宋体" w:cs="宋体"/>
          <w:kern w:val="0"/>
          <w:szCs w:val="21"/>
        </w:rPr>
      </w:pPr>
      <w:r>
        <w:rPr>
          <w:rFonts w:hint="eastAsia" w:ascii="宋体" w:hAnsi="宋体" w:cs="宋体"/>
          <w:kern w:val="0"/>
          <w:szCs w:val="21"/>
        </w:rPr>
        <w:t>3.1 具有本项目生产、制造、供应及/或实施能力，符合、承认并承诺履行本招标文件各项规定的国内供应商均可参加投标。</w:t>
      </w:r>
    </w:p>
    <w:p>
      <w:pPr>
        <w:tabs>
          <w:tab w:val="left" w:pos="-180"/>
        </w:tabs>
        <w:adjustRightInd w:val="0"/>
        <w:snapToGrid w:val="0"/>
        <w:spacing w:line="480" w:lineRule="exact"/>
        <w:ind w:left="540"/>
        <w:rPr>
          <w:rFonts w:ascii="宋体" w:hAnsi="宋体" w:cs="宋体"/>
          <w:kern w:val="0"/>
          <w:szCs w:val="21"/>
        </w:rPr>
      </w:pPr>
      <w:r>
        <w:rPr>
          <w:rFonts w:hint="eastAsia" w:ascii="宋体" w:hAnsi="宋体" w:cs="宋体"/>
          <w:kern w:val="0"/>
          <w:szCs w:val="21"/>
        </w:rPr>
        <w:t>3.2 投标人必须是已在中国境内依法登记注册并仍有效存续的供应商，并且其所持有的由工商行政管理局所核发的有效的营业执照。</w:t>
      </w:r>
    </w:p>
    <w:p>
      <w:pPr>
        <w:tabs>
          <w:tab w:val="left" w:pos="-180"/>
        </w:tabs>
        <w:adjustRightInd w:val="0"/>
        <w:snapToGrid w:val="0"/>
        <w:spacing w:line="480" w:lineRule="exact"/>
        <w:ind w:left="540"/>
        <w:rPr>
          <w:rFonts w:ascii="宋体" w:hAnsi="宋体" w:cs="宋体"/>
          <w:kern w:val="0"/>
          <w:szCs w:val="21"/>
        </w:rPr>
      </w:pPr>
      <w:r>
        <w:rPr>
          <w:rFonts w:hint="eastAsia" w:ascii="宋体" w:hAnsi="宋体" w:cs="宋体"/>
          <w:kern w:val="0"/>
          <w:szCs w:val="21"/>
        </w:rPr>
        <w:t>3.3 投标人应当遵守我国的有关法律、法规，具备《中华人民共和国政府采购法》第二十二条规定的条件和本项目所需的特定条件。具体为：</w:t>
      </w:r>
    </w:p>
    <w:p>
      <w:pPr>
        <w:numPr>
          <w:ilvl w:val="0"/>
          <w:numId w:val="4"/>
        </w:numPr>
        <w:adjustRightInd w:val="0"/>
        <w:snapToGrid w:val="0"/>
        <w:spacing w:line="480" w:lineRule="exact"/>
        <w:jc w:val="left"/>
        <w:rPr>
          <w:rFonts w:ascii="宋体" w:hAnsi="宋体" w:cs="宋体"/>
          <w:kern w:val="0"/>
          <w:szCs w:val="21"/>
        </w:rPr>
      </w:pPr>
      <w:r>
        <w:rPr>
          <w:rFonts w:hint="eastAsia" w:ascii="宋体" w:hAnsi="宋体" w:cs="宋体"/>
          <w:kern w:val="0"/>
          <w:szCs w:val="21"/>
        </w:rPr>
        <w:t>具有独立承担民事责任的能力；</w:t>
      </w:r>
    </w:p>
    <w:p>
      <w:pPr>
        <w:numPr>
          <w:ilvl w:val="0"/>
          <w:numId w:val="4"/>
        </w:numPr>
        <w:adjustRightInd w:val="0"/>
        <w:snapToGrid w:val="0"/>
        <w:spacing w:line="480" w:lineRule="exact"/>
        <w:jc w:val="left"/>
        <w:rPr>
          <w:rFonts w:ascii="宋体" w:hAnsi="宋体" w:cs="宋体"/>
          <w:kern w:val="0"/>
          <w:szCs w:val="21"/>
        </w:rPr>
      </w:pPr>
      <w:r>
        <w:rPr>
          <w:rFonts w:hint="eastAsia" w:ascii="宋体" w:hAnsi="宋体" w:cs="宋体"/>
          <w:kern w:val="0"/>
          <w:szCs w:val="21"/>
        </w:rPr>
        <w:t>具有良好的商业信誉和健全的财务会计制度；</w:t>
      </w:r>
    </w:p>
    <w:p>
      <w:pPr>
        <w:numPr>
          <w:ilvl w:val="0"/>
          <w:numId w:val="4"/>
        </w:numPr>
        <w:adjustRightInd w:val="0"/>
        <w:snapToGrid w:val="0"/>
        <w:spacing w:line="480" w:lineRule="exact"/>
        <w:jc w:val="left"/>
        <w:rPr>
          <w:rFonts w:ascii="宋体" w:hAnsi="宋体" w:cs="宋体"/>
          <w:kern w:val="0"/>
          <w:szCs w:val="21"/>
        </w:rPr>
      </w:pPr>
      <w:r>
        <w:rPr>
          <w:rFonts w:hint="eastAsia" w:ascii="宋体" w:hAnsi="宋体" w:cs="宋体"/>
          <w:kern w:val="0"/>
          <w:szCs w:val="21"/>
        </w:rPr>
        <w:t>具有履行合同所必需的设备和专业技术能力；</w:t>
      </w:r>
    </w:p>
    <w:p>
      <w:pPr>
        <w:numPr>
          <w:ilvl w:val="0"/>
          <w:numId w:val="4"/>
        </w:numPr>
        <w:adjustRightInd w:val="0"/>
        <w:snapToGrid w:val="0"/>
        <w:spacing w:line="480" w:lineRule="exact"/>
        <w:jc w:val="left"/>
        <w:rPr>
          <w:rFonts w:ascii="宋体" w:hAnsi="宋体" w:cs="宋体"/>
          <w:kern w:val="0"/>
          <w:szCs w:val="21"/>
        </w:rPr>
      </w:pPr>
      <w:r>
        <w:rPr>
          <w:rFonts w:hint="eastAsia" w:ascii="宋体" w:hAnsi="宋体" w:cs="宋体"/>
          <w:kern w:val="0"/>
          <w:szCs w:val="21"/>
        </w:rPr>
        <w:t>具有依法缴纳税收和社会保障资金的良好记录；</w:t>
      </w:r>
    </w:p>
    <w:p>
      <w:pPr>
        <w:numPr>
          <w:ilvl w:val="0"/>
          <w:numId w:val="4"/>
        </w:numPr>
        <w:adjustRightInd w:val="0"/>
        <w:snapToGrid w:val="0"/>
        <w:spacing w:line="480" w:lineRule="exact"/>
        <w:jc w:val="left"/>
        <w:rPr>
          <w:rFonts w:ascii="宋体" w:hAnsi="宋体" w:cs="宋体"/>
          <w:kern w:val="0"/>
          <w:szCs w:val="21"/>
        </w:rPr>
      </w:pPr>
      <w:r>
        <w:rPr>
          <w:rFonts w:hint="eastAsia" w:ascii="宋体" w:hAnsi="宋体" w:cs="宋体"/>
          <w:kern w:val="0"/>
          <w:szCs w:val="21"/>
        </w:rPr>
        <w:t>参加此项采购活动前三年内，在经营活动中没有重大违法记录；</w:t>
      </w:r>
    </w:p>
    <w:p>
      <w:pPr>
        <w:numPr>
          <w:ilvl w:val="0"/>
          <w:numId w:val="4"/>
        </w:numPr>
        <w:adjustRightInd w:val="0"/>
        <w:snapToGrid w:val="0"/>
        <w:spacing w:line="480" w:lineRule="exact"/>
        <w:jc w:val="left"/>
        <w:rPr>
          <w:rFonts w:ascii="宋体" w:hAnsi="宋体" w:cs="宋体"/>
          <w:kern w:val="0"/>
          <w:szCs w:val="21"/>
        </w:rPr>
      </w:pPr>
      <w:r>
        <w:rPr>
          <w:rFonts w:hint="eastAsia" w:ascii="宋体" w:hAnsi="宋体" w:cs="宋体"/>
          <w:kern w:val="0"/>
          <w:szCs w:val="21"/>
        </w:rPr>
        <w:t>法律、行政法规规定的其他条件；</w:t>
      </w:r>
    </w:p>
    <w:p>
      <w:pPr>
        <w:numPr>
          <w:ilvl w:val="0"/>
          <w:numId w:val="4"/>
        </w:numPr>
        <w:adjustRightInd w:val="0"/>
        <w:snapToGrid w:val="0"/>
        <w:spacing w:line="480" w:lineRule="exact"/>
        <w:jc w:val="left"/>
        <w:rPr>
          <w:rFonts w:ascii="宋体" w:hAnsi="宋体" w:cs="宋体"/>
          <w:kern w:val="0"/>
          <w:szCs w:val="21"/>
        </w:rPr>
      </w:pPr>
      <w:r>
        <w:rPr>
          <w:rFonts w:hint="eastAsia" w:ascii="宋体" w:hAnsi="宋体" w:cs="宋体"/>
          <w:kern w:val="0"/>
          <w:szCs w:val="21"/>
        </w:rPr>
        <w:t>具有投标人须知前附表第1条规定的特定资质条件。</w:t>
      </w:r>
    </w:p>
    <w:p>
      <w:pPr>
        <w:tabs>
          <w:tab w:val="left" w:pos="-180"/>
          <w:tab w:val="left" w:pos="360"/>
        </w:tabs>
        <w:adjustRightInd w:val="0"/>
        <w:snapToGrid w:val="0"/>
        <w:spacing w:line="480" w:lineRule="exact"/>
        <w:ind w:firstLine="539" w:firstLineChars="257"/>
        <w:rPr>
          <w:rFonts w:ascii="宋体" w:hAnsi="宋体" w:cs="宋体"/>
          <w:kern w:val="0"/>
          <w:szCs w:val="21"/>
        </w:rPr>
      </w:pPr>
      <w:r>
        <w:rPr>
          <w:rFonts w:hint="eastAsia" w:ascii="宋体" w:hAnsi="宋体" w:cs="宋体"/>
          <w:kern w:val="0"/>
          <w:szCs w:val="21"/>
        </w:rPr>
        <w:t>3.4  本次招标是否允许代理商参加投标，详见投标人须知前附表第1条。</w:t>
      </w:r>
    </w:p>
    <w:p>
      <w:pPr>
        <w:adjustRightInd w:val="0"/>
        <w:snapToGrid w:val="0"/>
        <w:spacing w:line="480" w:lineRule="exact"/>
        <w:ind w:firstLine="491" w:firstLineChars="234"/>
        <w:rPr>
          <w:rFonts w:ascii="宋体" w:hAnsi="宋体" w:cs="宋体"/>
          <w:kern w:val="0"/>
          <w:szCs w:val="21"/>
        </w:rPr>
      </w:pPr>
      <w:r>
        <w:rPr>
          <w:rFonts w:hint="eastAsia" w:ascii="宋体" w:hAnsi="宋体" w:cs="宋体"/>
          <w:kern w:val="0"/>
          <w:szCs w:val="21"/>
        </w:rPr>
        <w:t>3.5多家代理商代理一家制造商的同一品牌产品参加投标的，按一家供应商计算</w:t>
      </w:r>
      <w:r>
        <w:rPr>
          <w:rFonts w:hint="eastAsia" w:ascii="宋体" w:hAnsi="宋体" w:cs="宋体"/>
          <w:kern w:val="0"/>
          <w:szCs w:val="21"/>
          <w:lang w:eastAsia="zh-CN"/>
        </w:rPr>
        <w:t>投标人</w:t>
      </w:r>
      <w:r>
        <w:rPr>
          <w:rFonts w:hint="eastAsia" w:ascii="宋体" w:hAnsi="宋体" w:cs="宋体"/>
          <w:kern w:val="0"/>
          <w:szCs w:val="21"/>
        </w:rPr>
        <w:t>数量。若某包内包含多种产品的，主要产品或金额大的产品以加</w:t>
      </w:r>
      <w:r>
        <w:rPr>
          <w:rFonts w:hint="eastAsia" w:ascii="宋体" w:hAnsi="宋体" w:cs="宋体"/>
          <w:spacing w:val="10"/>
          <w:kern w:val="0"/>
          <w:szCs w:val="21"/>
        </w:rPr>
        <w:t>★</w:t>
      </w:r>
      <w:r>
        <w:rPr>
          <w:rFonts w:hint="eastAsia" w:ascii="宋体" w:hAnsi="宋体" w:cs="宋体"/>
          <w:kern w:val="0"/>
          <w:szCs w:val="21"/>
        </w:rPr>
        <w:t>号来确定，如果加</w:t>
      </w:r>
      <w:r>
        <w:rPr>
          <w:rFonts w:hint="eastAsia" w:ascii="宋体" w:hAnsi="宋体" w:cs="宋体"/>
          <w:spacing w:val="10"/>
          <w:kern w:val="0"/>
          <w:szCs w:val="21"/>
        </w:rPr>
        <w:t>★</w:t>
      </w:r>
      <w:r>
        <w:rPr>
          <w:rFonts w:hint="eastAsia" w:ascii="宋体" w:hAnsi="宋体" w:cs="宋体"/>
          <w:kern w:val="0"/>
          <w:szCs w:val="21"/>
        </w:rPr>
        <w:t>号产品的品牌完全相同，则按一家供应商计算</w:t>
      </w:r>
      <w:r>
        <w:rPr>
          <w:rFonts w:hint="eastAsia" w:ascii="宋体" w:hAnsi="宋体" w:cs="宋体"/>
          <w:kern w:val="0"/>
          <w:szCs w:val="21"/>
          <w:lang w:eastAsia="zh-CN"/>
        </w:rPr>
        <w:t>投标人</w:t>
      </w:r>
      <w:r>
        <w:rPr>
          <w:rFonts w:hint="eastAsia" w:ascii="宋体" w:hAnsi="宋体" w:cs="宋体"/>
          <w:kern w:val="0"/>
          <w:szCs w:val="21"/>
        </w:rPr>
        <w:t>数量。</w:t>
      </w:r>
    </w:p>
    <w:p>
      <w:pPr>
        <w:adjustRightInd w:val="0"/>
        <w:snapToGrid w:val="0"/>
        <w:spacing w:line="480" w:lineRule="exact"/>
        <w:ind w:firstLine="491" w:firstLineChars="234"/>
        <w:rPr>
          <w:rFonts w:ascii="宋体" w:hAnsi="宋体" w:cs="宋体"/>
          <w:kern w:val="0"/>
          <w:szCs w:val="21"/>
        </w:rPr>
      </w:pPr>
      <w:r>
        <w:rPr>
          <w:rFonts w:hint="eastAsia" w:ascii="宋体" w:hAnsi="宋体" w:cs="宋体"/>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djustRightInd w:val="0"/>
        <w:snapToGrid w:val="0"/>
        <w:spacing w:line="480" w:lineRule="exact"/>
        <w:ind w:firstLine="491" w:firstLineChars="234"/>
        <w:rPr>
          <w:rFonts w:ascii="宋体" w:hAnsi="宋体" w:cs="宋体"/>
          <w:kern w:val="0"/>
          <w:szCs w:val="21"/>
        </w:rPr>
      </w:pPr>
      <w:r>
        <w:rPr>
          <w:rFonts w:hint="eastAsia" w:ascii="宋体" w:hAnsi="宋体" w:cs="宋体"/>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napToGrid w:val="0"/>
        <w:spacing w:line="480" w:lineRule="exact"/>
        <w:ind w:firstLine="491" w:firstLineChars="234"/>
        <w:rPr>
          <w:rFonts w:ascii="宋体" w:hAnsi="宋体" w:cs="宋体"/>
          <w:kern w:val="0"/>
          <w:szCs w:val="21"/>
        </w:rPr>
      </w:pPr>
      <w:r>
        <w:rPr>
          <w:rFonts w:hint="eastAsia" w:ascii="宋体" w:hAnsi="宋体" w:cs="宋体"/>
          <w:kern w:val="0"/>
          <w:szCs w:val="21"/>
        </w:rPr>
        <w:t>3.6具有法人资格且与其他法人具有控股关联关系的投标人的特别规则如下：</w:t>
      </w:r>
    </w:p>
    <w:p>
      <w:pPr>
        <w:adjustRightInd w:val="0"/>
        <w:snapToGrid w:val="0"/>
        <w:spacing w:line="480" w:lineRule="exact"/>
        <w:ind w:firstLine="491" w:firstLineChars="234"/>
        <w:rPr>
          <w:rFonts w:ascii="宋体" w:hAnsi="宋体" w:cs="宋体"/>
          <w:kern w:val="0"/>
          <w:szCs w:val="21"/>
        </w:rPr>
      </w:pPr>
      <w:r>
        <w:rPr>
          <w:rFonts w:hint="eastAsia" w:ascii="宋体" w:hAnsi="宋体" w:cs="宋体"/>
          <w:kern w:val="0"/>
          <w:szCs w:val="21"/>
        </w:rPr>
        <w:t>与采购人存在利害关系可能影响招标公正性的法人、其他组织或者个人，不得参加投标；单位负责人为同一人或者存在控股、管理关系的不同单位，不得参加同一包或者未分包的同一招标项目投标；否则，相关投标均无效。</w:t>
      </w:r>
      <w:r>
        <w:rPr>
          <w:rFonts w:hint="eastAsia" w:ascii="宋体" w:hAnsi="宋体" w:cs="宋体"/>
          <w:kern w:val="0"/>
          <w:szCs w:val="21"/>
        </w:rPr>
        <w:br w:type="textWrapping"/>
      </w:r>
      <w:r>
        <w:rPr>
          <w:rFonts w:hint="eastAsia" w:ascii="宋体" w:hAnsi="宋体" w:cs="宋体"/>
          <w:kern w:val="0"/>
          <w:szCs w:val="21"/>
          <w:lang w:val="en-US" w:eastAsia="zh-CN"/>
        </w:rPr>
        <w:t xml:space="preserve">    </w:t>
      </w:r>
      <w:r>
        <w:rPr>
          <w:rFonts w:hint="eastAsia" w:ascii="宋体" w:hAnsi="宋体" w:cs="宋体"/>
          <w:kern w:val="0"/>
          <w:szCs w:val="21"/>
        </w:rPr>
        <w:t>3.7 本次招标是否允许由两个以上投标人组成一个联合体以一个投标人身份共同投标，详见投标人须知前附表第2条，如果允许，须按第八部分附件四的格式要求认真填写。联合体各方应符合下列要求：</w:t>
      </w:r>
    </w:p>
    <w:p>
      <w:pPr>
        <w:widowControl/>
        <w:spacing w:before="72" w:line="360" w:lineRule="auto"/>
        <w:ind w:left="36" w:leftChars="17" w:right="36" w:firstLine="441" w:firstLineChars="210"/>
        <w:jc w:val="left"/>
        <w:rPr>
          <w:rFonts w:ascii="宋体" w:hAnsi="宋体" w:cs="宋体"/>
          <w:kern w:val="0"/>
          <w:szCs w:val="21"/>
        </w:rPr>
      </w:pPr>
      <w:r>
        <w:rPr>
          <w:rFonts w:hint="eastAsia" w:ascii="宋体" w:hAnsi="宋体" w:cs="宋体"/>
          <w:kern w:val="0"/>
          <w:szCs w:val="21"/>
        </w:rPr>
        <w:t xml:space="preserve">两个以上供应商可以组成一个投标联合体，以一个投标人的身份投标。 </w:t>
      </w:r>
    </w:p>
    <w:p>
      <w:pPr>
        <w:widowControl/>
        <w:spacing w:before="72" w:line="360" w:lineRule="auto"/>
        <w:ind w:right="36" w:firstLine="411" w:firstLineChars="196"/>
        <w:jc w:val="left"/>
        <w:rPr>
          <w:rFonts w:ascii="宋体" w:hAnsi="宋体" w:cs="宋体"/>
          <w:kern w:val="0"/>
          <w:szCs w:val="21"/>
        </w:rPr>
      </w:pPr>
      <w:r>
        <w:rPr>
          <w:rFonts w:hint="eastAsia" w:ascii="宋体" w:hAnsi="宋体" w:cs="宋体"/>
          <w:kern w:val="0"/>
          <w:szCs w:val="21"/>
        </w:rPr>
        <w:t xml:space="preserve">以联合体形式参加投标的，联合体各方均应当符合《政府采购法》第二十二条第一款规定的条件。采购人根据采购项目的特殊要求规定投标人特定条件的，联合体各方中至少应当有一方符合本招标文件规定的特定条件。 </w:t>
      </w:r>
    </w:p>
    <w:p>
      <w:pPr>
        <w:widowControl/>
        <w:spacing w:before="72" w:line="360" w:lineRule="auto"/>
        <w:ind w:left="36" w:leftChars="17" w:right="36" w:firstLine="411" w:firstLineChars="196"/>
        <w:jc w:val="left"/>
        <w:rPr>
          <w:rFonts w:ascii="宋体" w:hAnsi="宋体" w:cs="宋体"/>
          <w:kern w:val="0"/>
          <w:szCs w:val="21"/>
        </w:rPr>
      </w:pPr>
      <w:r>
        <w:rPr>
          <w:rFonts w:hint="eastAsia" w:ascii="宋体" w:hAnsi="宋体" w:cs="宋体"/>
          <w:kern w:val="0"/>
          <w:szCs w:val="21"/>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pPr>
        <w:adjustRightInd w:val="0"/>
        <w:snapToGrid w:val="0"/>
        <w:spacing w:line="480" w:lineRule="exact"/>
        <w:ind w:firstLine="420" w:firstLineChars="199"/>
        <w:rPr>
          <w:rFonts w:ascii="宋体" w:hAnsi="宋体" w:cs="宋体"/>
          <w:b/>
          <w:kern w:val="0"/>
          <w:szCs w:val="21"/>
        </w:rPr>
      </w:pPr>
      <w:r>
        <w:rPr>
          <w:rFonts w:hint="eastAsia" w:ascii="宋体" w:hAnsi="宋体" w:cs="宋体"/>
          <w:b/>
          <w:kern w:val="0"/>
          <w:szCs w:val="21"/>
        </w:rPr>
        <w:t>4.投标费用</w:t>
      </w:r>
    </w:p>
    <w:p>
      <w:pPr>
        <w:adjustRightInd w:val="0"/>
        <w:snapToGrid w:val="0"/>
        <w:spacing w:line="480" w:lineRule="exact"/>
        <w:ind w:firstLine="491" w:firstLineChars="234"/>
        <w:rPr>
          <w:rFonts w:ascii="宋体" w:hAnsi="宋体" w:cs="宋体"/>
          <w:kern w:val="0"/>
          <w:szCs w:val="21"/>
        </w:rPr>
      </w:pPr>
      <w:r>
        <w:rPr>
          <w:rFonts w:hint="eastAsia" w:ascii="宋体" w:hAnsi="宋体" w:cs="宋体"/>
          <w:kern w:val="0"/>
          <w:szCs w:val="21"/>
        </w:rPr>
        <w:t>投标人应当承担所有与准备和参加投标有关的费用，集采机构和采购人在任何情况下均无义务和责任承担这些费用。</w:t>
      </w:r>
    </w:p>
    <w:p>
      <w:pPr>
        <w:pStyle w:val="106"/>
        <w:snapToGrid w:val="0"/>
        <w:spacing w:line="480" w:lineRule="exact"/>
        <w:ind w:firstLine="420" w:firstLineChars="200"/>
        <w:textAlignment w:val="auto"/>
        <w:rPr>
          <w:rFonts w:hint="eastAsia" w:ascii="宋体" w:hAnsi="宋体" w:eastAsia="宋体" w:cs="宋体"/>
          <w:b w:val="0"/>
          <w:bCs/>
          <w:sz w:val="21"/>
          <w:szCs w:val="21"/>
        </w:rPr>
      </w:pPr>
      <w:r>
        <w:rPr>
          <w:rFonts w:hint="eastAsia" w:ascii="宋体" w:hAnsi="宋体" w:cs="宋体"/>
          <w:b w:val="0"/>
          <w:bCs/>
          <w:kern w:val="0"/>
          <w:sz w:val="21"/>
          <w:szCs w:val="21"/>
        </w:rPr>
        <w:t>5.</w:t>
      </w:r>
      <w:r>
        <w:rPr>
          <w:rFonts w:hint="eastAsia" w:ascii="宋体" w:hAnsi="宋体" w:cs="宋体"/>
          <w:b/>
          <w:bCs w:val="0"/>
          <w:kern w:val="0"/>
          <w:sz w:val="21"/>
          <w:szCs w:val="21"/>
        </w:rPr>
        <w:t xml:space="preserve"> </w:t>
      </w:r>
      <w:r>
        <w:rPr>
          <w:rFonts w:hint="eastAsia" w:ascii="宋体" w:hAnsi="宋体" w:eastAsia="宋体" w:cs="宋体"/>
          <w:b/>
          <w:bCs w:val="0"/>
          <w:sz w:val="21"/>
          <w:szCs w:val="21"/>
        </w:rPr>
        <w:t>通知</w:t>
      </w:r>
      <w:r>
        <w:rPr>
          <w:rFonts w:hint="eastAsia" w:ascii="宋体" w:hAnsi="宋体" w:eastAsia="宋体" w:cs="宋体"/>
          <w:b/>
          <w:bCs w:val="0"/>
          <w:spacing w:val="10"/>
          <w:sz w:val="21"/>
          <w:szCs w:val="21"/>
        </w:rPr>
        <w:t>的告知及获取</w:t>
      </w:r>
    </w:p>
    <w:p>
      <w:pPr>
        <w:pStyle w:val="106"/>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5.1通知的告知</w:t>
      </w:r>
    </w:p>
    <w:p>
      <w:pPr>
        <w:pStyle w:val="106"/>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对与本项目有关的通知，集采机构将以在本次</w:t>
      </w:r>
      <w:r>
        <w:rPr>
          <w:rFonts w:hint="eastAsia" w:cs="宋体"/>
          <w:b w:val="0"/>
          <w:bCs/>
          <w:sz w:val="21"/>
          <w:szCs w:val="21"/>
          <w:lang w:eastAsia="zh-CN"/>
        </w:rPr>
        <w:t>招标</w:t>
      </w:r>
      <w:r>
        <w:rPr>
          <w:rFonts w:hint="eastAsia" w:ascii="宋体" w:hAnsi="宋体" w:eastAsia="宋体" w:cs="宋体"/>
          <w:b w:val="0"/>
          <w:bCs/>
          <w:sz w:val="21"/>
          <w:szCs w:val="21"/>
        </w:rPr>
        <w:t>公告刊登的媒体上</w:t>
      </w:r>
      <w:r>
        <w:rPr>
          <w:rFonts w:hint="eastAsia" w:ascii="宋体" w:hAnsi="宋体" w:eastAsia="宋体" w:cs="宋体"/>
          <w:b w:val="0"/>
          <w:bCs/>
          <w:sz w:val="21"/>
          <w:szCs w:val="21"/>
          <w:lang w:eastAsia="zh-CN"/>
        </w:rPr>
        <w:t>以</w:t>
      </w:r>
      <w:r>
        <w:rPr>
          <w:rFonts w:hint="eastAsia" w:ascii="宋体" w:hAnsi="宋体" w:eastAsia="宋体" w:cs="宋体"/>
          <w:b w:val="0"/>
          <w:bCs/>
          <w:sz w:val="21"/>
          <w:szCs w:val="21"/>
        </w:rPr>
        <w:t>发布公告的形式告知所有已获取了</w:t>
      </w:r>
      <w:r>
        <w:rPr>
          <w:rFonts w:hint="eastAsia" w:cs="宋体"/>
          <w:b w:val="0"/>
          <w:bCs/>
          <w:sz w:val="21"/>
          <w:szCs w:val="21"/>
          <w:lang w:eastAsia="zh-CN"/>
        </w:rPr>
        <w:t>招标</w:t>
      </w:r>
      <w:r>
        <w:rPr>
          <w:rFonts w:hint="eastAsia" w:ascii="宋体" w:hAnsi="宋体" w:eastAsia="宋体" w:cs="宋体"/>
          <w:b w:val="0"/>
          <w:bCs/>
          <w:sz w:val="21"/>
          <w:szCs w:val="21"/>
        </w:rPr>
        <w:t>文件的</w:t>
      </w:r>
      <w:r>
        <w:rPr>
          <w:rFonts w:hint="eastAsia" w:cs="宋体"/>
          <w:b w:val="0"/>
          <w:bCs/>
          <w:sz w:val="21"/>
          <w:szCs w:val="21"/>
          <w:lang w:eastAsia="zh-CN"/>
        </w:rPr>
        <w:t>投标人</w:t>
      </w:r>
      <w:r>
        <w:rPr>
          <w:rFonts w:hint="eastAsia" w:ascii="宋体" w:hAnsi="宋体" w:eastAsia="宋体" w:cs="宋体"/>
          <w:b w:val="0"/>
          <w:bCs/>
          <w:sz w:val="21"/>
          <w:szCs w:val="21"/>
        </w:rPr>
        <w:t>及潜在供应商。</w:t>
      </w:r>
    </w:p>
    <w:p>
      <w:pPr>
        <w:pStyle w:val="106"/>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5.2通知的获取</w:t>
      </w:r>
    </w:p>
    <w:p>
      <w:pPr>
        <w:pStyle w:val="106"/>
        <w:snapToGrid w:val="0"/>
        <w:spacing w:line="360" w:lineRule="auto"/>
        <w:ind w:firstLine="420" w:firstLineChars="200"/>
        <w:textAlignment w:val="auto"/>
        <w:rPr>
          <w:rFonts w:hint="eastAsia" w:ascii="宋体" w:hAnsi="宋体" w:eastAsia="宋体" w:cs="宋体"/>
          <w:b w:val="0"/>
          <w:bCs/>
          <w:sz w:val="21"/>
          <w:szCs w:val="21"/>
          <w:highlight w:val="none"/>
        </w:rPr>
      </w:pPr>
      <w:r>
        <w:rPr>
          <w:rFonts w:hint="eastAsia" w:ascii="宋体" w:hAnsi="宋体" w:eastAsia="宋体" w:cs="宋体"/>
          <w:b w:val="0"/>
          <w:bCs/>
          <w:sz w:val="21"/>
          <w:szCs w:val="21"/>
        </w:rPr>
        <w:t>已获取了</w:t>
      </w:r>
      <w:r>
        <w:rPr>
          <w:rFonts w:hint="eastAsia" w:cs="宋体"/>
          <w:b w:val="0"/>
          <w:bCs/>
          <w:sz w:val="21"/>
          <w:szCs w:val="21"/>
          <w:lang w:eastAsia="zh-CN"/>
        </w:rPr>
        <w:t>招标文件</w:t>
      </w:r>
      <w:r>
        <w:rPr>
          <w:rFonts w:hint="eastAsia" w:ascii="宋体" w:hAnsi="宋体" w:eastAsia="宋体" w:cs="宋体"/>
          <w:b w:val="0"/>
          <w:bCs/>
          <w:sz w:val="21"/>
          <w:szCs w:val="21"/>
        </w:rPr>
        <w:t>的</w:t>
      </w:r>
      <w:r>
        <w:rPr>
          <w:rFonts w:hint="eastAsia" w:cs="宋体"/>
          <w:b w:val="0"/>
          <w:bCs/>
          <w:sz w:val="21"/>
          <w:szCs w:val="21"/>
          <w:lang w:eastAsia="zh-CN"/>
        </w:rPr>
        <w:t>投标人</w:t>
      </w:r>
      <w:r>
        <w:rPr>
          <w:rFonts w:hint="eastAsia" w:ascii="宋体" w:hAnsi="宋体" w:eastAsia="宋体" w:cs="宋体"/>
          <w:b w:val="0"/>
          <w:bCs/>
          <w:sz w:val="21"/>
          <w:szCs w:val="21"/>
        </w:rPr>
        <w:t>，可在本次</w:t>
      </w:r>
      <w:r>
        <w:rPr>
          <w:rFonts w:hint="eastAsia" w:cs="宋体"/>
          <w:b w:val="0"/>
          <w:bCs/>
          <w:sz w:val="21"/>
          <w:szCs w:val="21"/>
          <w:lang w:eastAsia="zh-CN"/>
        </w:rPr>
        <w:t>招标公告</w:t>
      </w:r>
      <w:r>
        <w:rPr>
          <w:rFonts w:hint="eastAsia" w:ascii="宋体" w:hAnsi="宋体" w:eastAsia="宋体" w:cs="宋体"/>
          <w:b w:val="0"/>
          <w:bCs/>
          <w:sz w:val="21"/>
          <w:szCs w:val="21"/>
        </w:rPr>
        <w:t>刊登的媒体上查看已发布的通知，</w:t>
      </w:r>
      <w:r>
        <w:rPr>
          <w:rFonts w:hint="eastAsia" w:ascii="宋体" w:hAnsi="宋体" w:eastAsia="宋体" w:cs="宋体"/>
          <w:b w:val="0"/>
          <w:bCs/>
          <w:sz w:val="21"/>
          <w:szCs w:val="21"/>
          <w:highlight w:val="none"/>
        </w:rPr>
        <w:t>或登录</w:t>
      </w:r>
      <w:r>
        <w:rPr>
          <w:rFonts w:hint="eastAsia" w:cs="宋体"/>
          <w:b w:val="0"/>
          <w:bCs/>
          <w:sz w:val="21"/>
          <w:szCs w:val="21"/>
          <w:highlight w:val="none"/>
          <w:lang w:eastAsia="zh-CN"/>
        </w:rPr>
        <w:t>山西政府采购平台（www.ccgp-shanxi.gov.cn）</w:t>
      </w:r>
      <w:r>
        <w:rPr>
          <w:rFonts w:hint="eastAsia" w:ascii="宋体" w:hAnsi="宋体" w:eastAsia="宋体" w:cs="宋体"/>
          <w:b w:val="0"/>
          <w:bCs/>
          <w:sz w:val="21"/>
          <w:szCs w:val="21"/>
          <w:highlight w:val="none"/>
        </w:rPr>
        <w:t>，查看获取相关通知。</w:t>
      </w:r>
    </w:p>
    <w:p>
      <w:pPr>
        <w:pStyle w:val="106"/>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未获取</w:t>
      </w:r>
      <w:r>
        <w:rPr>
          <w:rFonts w:hint="eastAsia" w:cs="宋体"/>
          <w:b w:val="0"/>
          <w:bCs/>
          <w:sz w:val="21"/>
          <w:szCs w:val="21"/>
          <w:lang w:eastAsia="zh-CN"/>
        </w:rPr>
        <w:t>招标文件</w:t>
      </w:r>
      <w:r>
        <w:rPr>
          <w:rFonts w:hint="eastAsia" w:ascii="宋体" w:hAnsi="宋体" w:eastAsia="宋体" w:cs="宋体"/>
          <w:b w:val="0"/>
          <w:bCs/>
          <w:sz w:val="21"/>
          <w:szCs w:val="21"/>
        </w:rPr>
        <w:t>的潜在供应商可在本次</w:t>
      </w:r>
      <w:r>
        <w:rPr>
          <w:rFonts w:hint="eastAsia" w:cs="宋体"/>
          <w:b w:val="0"/>
          <w:bCs/>
          <w:sz w:val="21"/>
          <w:szCs w:val="21"/>
          <w:lang w:eastAsia="zh-CN"/>
        </w:rPr>
        <w:t>招标公告</w:t>
      </w:r>
      <w:r>
        <w:rPr>
          <w:rFonts w:hint="eastAsia" w:ascii="宋体" w:hAnsi="宋体" w:eastAsia="宋体" w:cs="宋体"/>
          <w:b w:val="0"/>
          <w:bCs/>
          <w:sz w:val="21"/>
          <w:szCs w:val="21"/>
        </w:rPr>
        <w:t>刊登的媒体上查看获取已发布的通知。</w:t>
      </w:r>
    </w:p>
    <w:p>
      <w:pPr>
        <w:pStyle w:val="106"/>
        <w:snapToGrid w:val="0"/>
        <w:spacing w:line="480" w:lineRule="exact"/>
        <w:ind w:firstLine="420" w:firstLineChars="200"/>
        <w:textAlignment w:val="auto"/>
        <w:rPr>
          <w:rFonts w:ascii="宋体" w:hAnsi="宋体" w:cs="宋体"/>
          <w:kern w:val="0"/>
          <w:szCs w:val="21"/>
        </w:rPr>
      </w:pPr>
      <w:r>
        <w:rPr>
          <w:rFonts w:hint="eastAsia" w:ascii="宋体" w:hAnsi="宋体" w:eastAsia="宋体" w:cs="宋体"/>
          <w:b w:val="0"/>
          <w:bCs/>
          <w:sz w:val="21"/>
          <w:szCs w:val="21"/>
        </w:rPr>
        <w:t>因线路故障导致通知延迟获取或无法获取，集采机构不因此承担任何责任，有关的</w:t>
      </w:r>
      <w:r>
        <w:rPr>
          <w:rFonts w:hint="eastAsia" w:cs="宋体"/>
          <w:b w:val="0"/>
          <w:bCs/>
          <w:sz w:val="21"/>
          <w:szCs w:val="21"/>
          <w:lang w:eastAsia="zh-CN"/>
        </w:rPr>
        <w:t>招标</w:t>
      </w:r>
      <w:r>
        <w:rPr>
          <w:rFonts w:hint="eastAsia" w:ascii="宋体" w:hAnsi="宋体" w:eastAsia="宋体" w:cs="宋体"/>
          <w:b w:val="0"/>
          <w:bCs/>
          <w:sz w:val="21"/>
          <w:szCs w:val="21"/>
        </w:rPr>
        <w:t>活动可以继续有效地进行。</w:t>
      </w:r>
    </w:p>
    <w:p>
      <w:pPr>
        <w:keepNext/>
        <w:keepLines/>
        <w:adjustRightInd w:val="0"/>
        <w:spacing w:beforeLines="10" w:afterLines="10" w:line="480" w:lineRule="exact"/>
        <w:ind w:left="1805"/>
        <w:outlineLvl w:val="1"/>
        <w:rPr>
          <w:rFonts w:ascii="宋体" w:hAnsi="宋体" w:cs="宋体"/>
          <w:b/>
          <w:kern w:val="0"/>
          <w:szCs w:val="21"/>
        </w:rPr>
      </w:pPr>
      <w:r>
        <w:rPr>
          <w:rFonts w:hint="eastAsia" w:ascii="宋体" w:hAnsi="宋体" w:cs="宋体"/>
          <w:b/>
          <w:kern w:val="0"/>
          <w:szCs w:val="21"/>
        </w:rPr>
        <w:t>二、招标文件</w:t>
      </w:r>
    </w:p>
    <w:p>
      <w:pPr>
        <w:adjustRightInd w:val="0"/>
        <w:snapToGrid w:val="0"/>
        <w:spacing w:line="480" w:lineRule="exact"/>
        <w:ind w:firstLine="493" w:firstLineChars="234"/>
        <w:rPr>
          <w:rFonts w:ascii="宋体" w:hAnsi="宋体" w:cs="宋体"/>
          <w:b/>
          <w:kern w:val="0"/>
          <w:szCs w:val="21"/>
        </w:rPr>
      </w:pPr>
      <w:r>
        <w:rPr>
          <w:rFonts w:hint="eastAsia" w:ascii="宋体" w:hAnsi="宋体" w:cs="宋体"/>
          <w:b/>
          <w:kern w:val="0"/>
          <w:szCs w:val="21"/>
        </w:rPr>
        <w:t>6. 招标文件的内容</w:t>
      </w:r>
    </w:p>
    <w:p>
      <w:pPr>
        <w:adjustRightInd w:val="0"/>
        <w:snapToGrid w:val="0"/>
        <w:spacing w:line="480" w:lineRule="exact"/>
        <w:ind w:firstLine="472" w:firstLineChars="225"/>
        <w:rPr>
          <w:rFonts w:ascii="宋体" w:hAnsi="宋体" w:cs="宋体"/>
          <w:kern w:val="0"/>
          <w:szCs w:val="21"/>
        </w:rPr>
      </w:pPr>
      <w:r>
        <w:rPr>
          <w:rFonts w:hint="eastAsia" w:ascii="宋体" w:hAnsi="宋体" w:cs="宋体"/>
          <w:kern w:val="0"/>
          <w:szCs w:val="21"/>
        </w:rPr>
        <w:t>招标文件由下列八部分内容组成：</w:t>
      </w:r>
    </w:p>
    <w:p>
      <w:pPr>
        <w:snapToGrid w:val="0"/>
        <w:spacing w:line="480" w:lineRule="exact"/>
        <w:ind w:firstLine="472" w:firstLineChars="225"/>
        <w:rPr>
          <w:rFonts w:ascii="宋体" w:hAnsi="宋体" w:cs="宋体"/>
          <w:kern w:val="0"/>
          <w:szCs w:val="21"/>
        </w:rPr>
      </w:pPr>
      <w:r>
        <w:rPr>
          <w:rFonts w:hint="eastAsia" w:ascii="宋体" w:hAnsi="宋体" w:cs="宋体"/>
          <w:kern w:val="0"/>
          <w:szCs w:val="21"/>
        </w:rPr>
        <w:t>第一部分 投标邀请；</w:t>
      </w:r>
    </w:p>
    <w:p>
      <w:pPr>
        <w:snapToGrid w:val="0"/>
        <w:spacing w:line="480" w:lineRule="exact"/>
        <w:ind w:firstLine="472" w:firstLineChars="225"/>
        <w:rPr>
          <w:rFonts w:ascii="宋体" w:hAnsi="宋体" w:cs="宋体"/>
          <w:kern w:val="0"/>
          <w:szCs w:val="21"/>
        </w:rPr>
      </w:pPr>
      <w:r>
        <w:rPr>
          <w:rFonts w:hint="eastAsia" w:ascii="宋体" w:hAnsi="宋体" w:cs="宋体"/>
          <w:kern w:val="0"/>
          <w:szCs w:val="21"/>
        </w:rPr>
        <w:t>第二部分 投标人须知前附表;</w:t>
      </w:r>
    </w:p>
    <w:p>
      <w:pPr>
        <w:snapToGrid w:val="0"/>
        <w:spacing w:line="480" w:lineRule="exact"/>
        <w:ind w:firstLine="472" w:firstLineChars="225"/>
        <w:rPr>
          <w:rFonts w:ascii="宋体" w:hAnsi="宋体" w:cs="宋体"/>
          <w:kern w:val="0"/>
          <w:szCs w:val="21"/>
        </w:rPr>
      </w:pPr>
      <w:r>
        <w:rPr>
          <w:rFonts w:hint="eastAsia" w:ascii="宋体" w:hAnsi="宋体" w:cs="宋体"/>
          <w:kern w:val="0"/>
          <w:szCs w:val="21"/>
        </w:rPr>
        <w:t>第三部分 投标人须知；</w:t>
      </w:r>
    </w:p>
    <w:p>
      <w:pPr>
        <w:snapToGrid w:val="0"/>
        <w:spacing w:line="480" w:lineRule="exact"/>
        <w:ind w:firstLine="472" w:firstLineChars="225"/>
        <w:rPr>
          <w:rFonts w:ascii="宋体" w:hAnsi="宋体" w:cs="宋体"/>
          <w:kern w:val="0"/>
          <w:szCs w:val="21"/>
        </w:rPr>
      </w:pPr>
      <w:r>
        <w:rPr>
          <w:rFonts w:hint="eastAsia" w:ascii="宋体" w:hAnsi="宋体" w:cs="宋体"/>
          <w:kern w:val="0"/>
          <w:szCs w:val="21"/>
        </w:rPr>
        <w:t>第四部分 商务技术要求；</w:t>
      </w:r>
    </w:p>
    <w:p>
      <w:pPr>
        <w:snapToGrid w:val="0"/>
        <w:spacing w:line="480" w:lineRule="exact"/>
        <w:ind w:firstLine="472" w:firstLineChars="225"/>
        <w:rPr>
          <w:rFonts w:hint="eastAsia" w:ascii="宋体" w:hAnsi="宋体" w:eastAsia="宋体" w:cs="宋体"/>
          <w:kern w:val="0"/>
          <w:szCs w:val="21"/>
          <w:lang w:eastAsia="zh-CN"/>
        </w:rPr>
      </w:pPr>
      <w:r>
        <w:rPr>
          <w:rFonts w:hint="eastAsia" w:ascii="宋体" w:hAnsi="宋体" w:cs="宋体"/>
          <w:kern w:val="0"/>
          <w:szCs w:val="21"/>
        </w:rPr>
        <w:t xml:space="preserve">第五部分 </w:t>
      </w:r>
      <w:r>
        <w:rPr>
          <w:rFonts w:hint="eastAsia" w:ascii="宋体" w:hAnsi="宋体" w:cs="宋体"/>
          <w:kern w:val="0"/>
          <w:szCs w:val="21"/>
          <w:lang w:eastAsia="zh-CN"/>
        </w:rPr>
        <w:t>资格审查内容及标准</w:t>
      </w:r>
    </w:p>
    <w:p>
      <w:pPr>
        <w:snapToGrid w:val="0"/>
        <w:spacing w:line="480" w:lineRule="exact"/>
        <w:ind w:firstLine="472" w:firstLineChars="225"/>
        <w:rPr>
          <w:rFonts w:ascii="宋体" w:hAnsi="宋体" w:cs="宋体"/>
          <w:kern w:val="0"/>
          <w:szCs w:val="21"/>
        </w:rPr>
      </w:pPr>
      <w:r>
        <w:rPr>
          <w:rFonts w:hint="eastAsia" w:ascii="宋体" w:hAnsi="宋体" w:cs="宋体"/>
          <w:kern w:val="0"/>
          <w:szCs w:val="21"/>
        </w:rPr>
        <w:t>第六部分 评标标准和评分方法；</w:t>
      </w:r>
    </w:p>
    <w:p>
      <w:pPr>
        <w:snapToGrid w:val="0"/>
        <w:spacing w:line="480" w:lineRule="exact"/>
        <w:ind w:firstLine="472" w:firstLineChars="225"/>
        <w:rPr>
          <w:rFonts w:hint="eastAsia" w:ascii="宋体" w:hAnsi="宋体" w:cs="宋体"/>
          <w:kern w:val="0"/>
          <w:szCs w:val="21"/>
        </w:rPr>
      </w:pPr>
      <w:r>
        <w:rPr>
          <w:rFonts w:hint="eastAsia" w:ascii="宋体" w:hAnsi="宋体" w:cs="宋体"/>
          <w:kern w:val="0"/>
          <w:szCs w:val="21"/>
        </w:rPr>
        <w:t>第七部分 合同原则；</w:t>
      </w:r>
    </w:p>
    <w:p>
      <w:pPr>
        <w:snapToGrid w:val="0"/>
        <w:spacing w:line="480" w:lineRule="exact"/>
        <w:ind w:firstLine="472" w:firstLineChars="225"/>
        <w:rPr>
          <w:rFonts w:hint="eastAsia" w:ascii="宋体" w:hAnsi="宋体" w:cs="宋体"/>
          <w:kern w:val="0"/>
          <w:szCs w:val="21"/>
        </w:rPr>
      </w:pPr>
      <w:r>
        <w:rPr>
          <w:rFonts w:hint="eastAsia" w:ascii="宋体" w:hAnsi="宋体" w:cs="宋体"/>
          <w:kern w:val="0"/>
          <w:szCs w:val="21"/>
        </w:rPr>
        <w:t>第八部分投标文件格式</w:t>
      </w:r>
    </w:p>
    <w:p>
      <w:pPr>
        <w:snapToGrid w:val="0"/>
        <w:spacing w:line="480" w:lineRule="exact"/>
        <w:ind w:firstLine="472" w:firstLineChars="225"/>
        <w:rPr>
          <w:rFonts w:ascii="宋体" w:hAnsi="宋体" w:cs="宋体"/>
          <w:kern w:val="0"/>
          <w:szCs w:val="21"/>
        </w:rPr>
      </w:pPr>
      <w:r>
        <w:rPr>
          <w:rFonts w:hint="eastAsia" w:ascii="宋体" w:hAnsi="宋体" w:eastAsia="宋体" w:cs="宋体"/>
          <w:b w:val="0"/>
          <w:bCs/>
          <w:sz w:val="21"/>
          <w:szCs w:val="21"/>
        </w:rPr>
        <w:t xml:space="preserve">6.2 </w:t>
      </w:r>
      <w:r>
        <w:rPr>
          <w:rFonts w:hint="eastAsia" w:cs="宋体"/>
          <w:b w:val="0"/>
          <w:bCs/>
          <w:sz w:val="21"/>
          <w:szCs w:val="21"/>
          <w:lang w:eastAsia="zh-CN"/>
        </w:rPr>
        <w:t>招标文件</w:t>
      </w:r>
      <w:r>
        <w:rPr>
          <w:rFonts w:hint="eastAsia" w:ascii="宋体" w:hAnsi="宋体" w:eastAsia="宋体" w:cs="宋体"/>
          <w:b w:val="0"/>
          <w:bCs/>
          <w:sz w:val="21"/>
          <w:szCs w:val="21"/>
        </w:rPr>
        <w:t>中落实政</w:t>
      </w:r>
    </w:p>
    <w:p>
      <w:pPr>
        <w:pStyle w:val="106"/>
        <w:snapToGrid w:val="0"/>
        <w:spacing w:line="480" w:lineRule="exact"/>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府采购政策的相关要求详见前附表序号</w:t>
      </w:r>
      <w:r>
        <w:rPr>
          <w:rFonts w:hint="eastAsia" w:cs="宋体"/>
          <w:b w:val="0"/>
          <w:bCs/>
          <w:sz w:val="21"/>
          <w:szCs w:val="21"/>
          <w:lang w:val="en-US" w:eastAsia="zh-CN"/>
        </w:rPr>
        <w:t>6</w:t>
      </w:r>
      <w:r>
        <w:rPr>
          <w:rFonts w:hint="eastAsia" w:ascii="宋体" w:hAnsi="宋体" w:eastAsia="宋体" w:cs="宋体"/>
          <w:b w:val="0"/>
          <w:bCs/>
          <w:sz w:val="21"/>
          <w:szCs w:val="21"/>
        </w:rPr>
        <w:t>的规定。</w:t>
      </w:r>
    </w:p>
    <w:p>
      <w:pPr>
        <w:pStyle w:val="106"/>
        <w:snapToGrid w:val="0"/>
        <w:spacing w:line="480" w:lineRule="exact"/>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6.3集采机构开标后对</w:t>
      </w:r>
      <w:r>
        <w:rPr>
          <w:rFonts w:hint="eastAsia" w:cs="宋体"/>
          <w:b w:val="0"/>
          <w:bCs/>
          <w:sz w:val="21"/>
          <w:szCs w:val="21"/>
          <w:lang w:eastAsia="zh-CN"/>
        </w:rPr>
        <w:t>投标人</w:t>
      </w:r>
      <w:r>
        <w:rPr>
          <w:rFonts w:hint="eastAsia" w:ascii="宋体" w:hAnsi="宋体" w:eastAsia="宋体" w:cs="宋体"/>
          <w:b w:val="0"/>
          <w:bCs/>
          <w:sz w:val="21"/>
          <w:szCs w:val="21"/>
        </w:rPr>
        <w:t>的信用信息进行查询，查询渠道为信用中国网（http://www.creditchina.gov.cn）和中国政府采购网（http://www.ccgp.gov.cn）；截止时间为</w:t>
      </w:r>
      <w:r>
        <w:rPr>
          <w:rFonts w:hint="eastAsia" w:cs="宋体"/>
          <w:b w:val="0"/>
          <w:bCs/>
          <w:sz w:val="21"/>
          <w:szCs w:val="21"/>
          <w:lang w:eastAsia="zh-CN"/>
        </w:rPr>
        <w:t>解密投标文件</w:t>
      </w:r>
      <w:r>
        <w:rPr>
          <w:rFonts w:hint="eastAsia" w:ascii="宋体" w:hAnsi="宋体" w:eastAsia="宋体" w:cs="宋体"/>
          <w:b w:val="0"/>
          <w:bCs/>
          <w:sz w:val="21"/>
          <w:szCs w:val="21"/>
        </w:rPr>
        <w:t>当日；查询内容为信用中国网的失信名单记录情况和中国政府采购网上的政府采购严重违法失信行为信息记录情况；</w:t>
      </w:r>
      <w:r>
        <w:rPr>
          <w:rFonts w:hint="eastAsia" w:ascii="宋体" w:hAnsi="宋体" w:eastAsia="宋体" w:cs="宋体"/>
          <w:b w:val="0"/>
          <w:bCs/>
          <w:color w:val="000000"/>
          <w:sz w:val="21"/>
          <w:szCs w:val="21"/>
        </w:rPr>
        <w:t>查询结果予以记录，查询后存在问题的对</w:t>
      </w:r>
      <w:r>
        <w:rPr>
          <w:rFonts w:hint="eastAsia" w:cs="宋体"/>
          <w:b w:val="0"/>
          <w:bCs/>
          <w:color w:val="000000"/>
          <w:sz w:val="21"/>
          <w:szCs w:val="21"/>
          <w:lang w:eastAsia="zh-CN"/>
        </w:rPr>
        <w:t>投标文件</w:t>
      </w:r>
      <w:r>
        <w:rPr>
          <w:rFonts w:hint="eastAsia" w:ascii="宋体" w:hAnsi="宋体" w:eastAsia="宋体" w:cs="宋体"/>
          <w:b w:val="0"/>
          <w:bCs/>
          <w:color w:val="000000"/>
          <w:sz w:val="21"/>
          <w:szCs w:val="21"/>
        </w:rPr>
        <w:t>做无效响应处理。</w:t>
      </w:r>
    </w:p>
    <w:p>
      <w:pPr>
        <w:pStyle w:val="106"/>
        <w:snapToGrid w:val="0"/>
        <w:spacing w:line="480" w:lineRule="exact"/>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6.4 除非特殊要求，</w:t>
      </w:r>
      <w:r>
        <w:rPr>
          <w:rFonts w:hint="eastAsia" w:cs="宋体"/>
          <w:b w:val="0"/>
          <w:bCs/>
          <w:sz w:val="21"/>
          <w:szCs w:val="21"/>
          <w:lang w:eastAsia="zh-CN"/>
        </w:rPr>
        <w:t>招标文件</w:t>
      </w:r>
      <w:r>
        <w:rPr>
          <w:rFonts w:hint="eastAsia" w:ascii="宋体" w:hAnsi="宋体" w:eastAsia="宋体" w:cs="宋体"/>
          <w:b w:val="0"/>
          <w:bCs/>
          <w:sz w:val="21"/>
          <w:szCs w:val="21"/>
        </w:rPr>
        <w:t>不单独提供项目使用地的自然环境、气候条件、公用设施情况，</w:t>
      </w:r>
      <w:r>
        <w:rPr>
          <w:rFonts w:hint="eastAsia" w:cs="宋体"/>
          <w:b w:val="0"/>
          <w:bCs/>
          <w:sz w:val="21"/>
          <w:szCs w:val="21"/>
          <w:lang w:eastAsia="zh-CN"/>
        </w:rPr>
        <w:t>投标人</w:t>
      </w:r>
      <w:r>
        <w:rPr>
          <w:rFonts w:hint="eastAsia" w:ascii="宋体" w:hAnsi="宋体" w:eastAsia="宋体" w:cs="宋体"/>
          <w:b w:val="0"/>
          <w:bCs/>
          <w:sz w:val="21"/>
          <w:szCs w:val="21"/>
        </w:rPr>
        <w:t>被视为熟悉上述与履行合同有关的一切情况。</w:t>
      </w:r>
    </w:p>
    <w:p>
      <w:pPr>
        <w:snapToGrid w:val="0"/>
        <w:spacing w:line="480" w:lineRule="exact"/>
        <w:ind w:firstLine="472" w:firstLineChars="225"/>
        <w:rPr>
          <w:rFonts w:hint="eastAsia" w:ascii="宋体" w:hAnsi="宋体" w:eastAsia="宋体" w:cs="宋体"/>
          <w:b w:val="0"/>
          <w:bCs/>
          <w:sz w:val="21"/>
          <w:szCs w:val="21"/>
        </w:rPr>
      </w:pPr>
      <w:r>
        <w:rPr>
          <w:rFonts w:hint="eastAsia" w:ascii="宋体" w:hAnsi="宋体" w:eastAsia="宋体" w:cs="宋体"/>
          <w:b w:val="0"/>
          <w:bCs/>
          <w:sz w:val="21"/>
          <w:szCs w:val="21"/>
        </w:rPr>
        <w:t xml:space="preserve">6.5 </w:t>
      </w:r>
      <w:r>
        <w:rPr>
          <w:rFonts w:hint="eastAsia" w:ascii="宋体" w:hAnsi="宋体" w:cs="宋体"/>
          <w:b w:val="0"/>
          <w:bCs/>
          <w:sz w:val="21"/>
          <w:szCs w:val="21"/>
          <w:lang w:eastAsia="zh-CN"/>
        </w:rPr>
        <w:t>招标文件</w:t>
      </w:r>
      <w:r>
        <w:rPr>
          <w:rFonts w:hint="eastAsia" w:ascii="宋体" w:hAnsi="宋体" w:eastAsia="宋体" w:cs="宋体"/>
          <w:b w:val="0"/>
          <w:bCs/>
          <w:sz w:val="21"/>
          <w:szCs w:val="21"/>
        </w:rPr>
        <w:t>的解释权归集采机构所有。当对一个问题有多种解释时以集采机构解释为准。</w:t>
      </w:r>
    </w:p>
    <w:p>
      <w:pPr>
        <w:pStyle w:val="106"/>
        <w:snapToGrid w:val="0"/>
        <w:spacing w:line="480" w:lineRule="exact"/>
        <w:ind w:firstLine="420" w:firstLineChars="200"/>
        <w:textAlignment w:val="auto"/>
        <w:rPr>
          <w:b w:val="0"/>
          <w:bCs/>
          <w:sz w:val="21"/>
          <w:szCs w:val="21"/>
        </w:rPr>
      </w:pPr>
      <w:r>
        <w:rPr>
          <w:rFonts w:hint="eastAsia" w:ascii="宋体" w:hAnsi="宋体" w:eastAsia="宋体" w:cs="宋体"/>
          <w:b w:val="0"/>
          <w:bCs/>
          <w:sz w:val="21"/>
          <w:szCs w:val="21"/>
        </w:rPr>
        <w:t xml:space="preserve">6.6 </w:t>
      </w:r>
      <w:r>
        <w:rPr>
          <w:rFonts w:hint="eastAsia" w:cs="宋体"/>
          <w:b w:val="0"/>
          <w:bCs/>
          <w:sz w:val="21"/>
          <w:szCs w:val="21"/>
          <w:lang w:eastAsia="zh-CN"/>
        </w:rPr>
        <w:t>招标文件</w:t>
      </w:r>
      <w:r>
        <w:rPr>
          <w:rFonts w:hint="eastAsia" w:ascii="宋体" w:hAnsi="宋体" w:eastAsia="宋体" w:cs="宋体"/>
          <w:b w:val="0"/>
          <w:bCs/>
          <w:sz w:val="21"/>
          <w:szCs w:val="21"/>
        </w:rPr>
        <w:t>未作须知明示，而又有法律、法规规定的，集采机构将依据法律法规的规定进行解释。</w:t>
      </w:r>
    </w:p>
    <w:p>
      <w:pPr>
        <w:adjustRightInd w:val="0"/>
        <w:snapToGrid w:val="0"/>
        <w:spacing w:line="480" w:lineRule="exact"/>
        <w:ind w:firstLine="493" w:firstLineChars="234"/>
        <w:rPr>
          <w:rFonts w:ascii="宋体" w:hAnsi="宋体" w:cs="宋体"/>
          <w:b/>
          <w:kern w:val="0"/>
          <w:szCs w:val="21"/>
        </w:rPr>
      </w:pPr>
      <w:r>
        <w:rPr>
          <w:rFonts w:hint="eastAsia" w:ascii="宋体" w:hAnsi="宋体" w:cs="宋体"/>
          <w:b/>
          <w:kern w:val="0"/>
          <w:szCs w:val="21"/>
        </w:rPr>
        <w:t>7. 招标文件的澄清和修改</w:t>
      </w:r>
    </w:p>
    <w:p>
      <w:pPr>
        <w:adjustRightInd w:val="0"/>
        <w:snapToGrid w:val="0"/>
        <w:spacing w:line="480" w:lineRule="exact"/>
        <w:ind w:firstLine="491" w:firstLineChars="234"/>
        <w:rPr>
          <w:rFonts w:ascii="宋体" w:hAnsi="宋体" w:cs="宋体"/>
          <w:kern w:val="0"/>
          <w:szCs w:val="21"/>
        </w:rPr>
      </w:pPr>
      <w:r>
        <w:rPr>
          <w:rFonts w:hint="eastAsia" w:ascii="宋体" w:hAnsi="宋体" w:cs="宋体"/>
          <w:kern w:val="0"/>
          <w:szCs w:val="21"/>
        </w:rPr>
        <w:t>7.1集采机构认为需要澄清或者修改的，将在招标文件要求提交投标文件截止时间15日前，在财政部门指定的政府采购信息发布媒体上发布更正公告，不足15日的顺延够15日。</w:t>
      </w:r>
    </w:p>
    <w:p>
      <w:pPr>
        <w:adjustRightInd w:val="0"/>
        <w:snapToGrid w:val="0"/>
        <w:spacing w:line="480" w:lineRule="exact"/>
        <w:ind w:firstLine="491" w:firstLineChars="234"/>
        <w:rPr>
          <w:rFonts w:ascii="宋体" w:hAnsi="宋体" w:cs="宋体"/>
          <w:kern w:val="0"/>
          <w:szCs w:val="21"/>
        </w:rPr>
      </w:pPr>
      <w:r>
        <w:rPr>
          <w:rFonts w:hint="eastAsia" w:ascii="宋体" w:hAnsi="宋体" w:cs="宋体"/>
          <w:kern w:val="0"/>
          <w:szCs w:val="21"/>
        </w:rPr>
        <w:t>7.2 如延长投标截止时间和开标时间，集采机构将在招标文件要求提交投标文件截止时间3日前，在财政部门指定的政府采购信息发布媒体上发布变更公告。</w:t>
      </w:r>
    </w:p>
    <w:p>
      <w:pPr>
        <w:adjustRightInd w:val="0"/>
        <w:snapToGrid w:val="0"/>
        <w:spacing w:line="480" w:lineRule="exact"/>
        <w:ind w:firstLine="491" w:firstLineChars="234"/>
        <w:rPr>
          <w:rFonts w:ascii="宋体" w:hAnsi="宋体" w:cs="宋体"/>
          <w:kern w:val="0"/>
          <w:szCs w:val="21"/>
        </w:rPr>
      </w:pPr>
      <w:r>
        <w:rPr>
          <w:rFonts w:hint="eastAsia" w:ascii="宋体" w:hAnsi="宋体" w:cs="宋体"/>
          <w:kern w:val="0"/>
          <w:szCs w:val="21"/>
        </w:rPr>
        <w:t>7.3 更正公告或变更公告在财政部门指定的政府采购信息发布媒体上发布后，集采机构将以</w:t>
      </w:r>
      <w:r>
        <w:rPr>
          <w:rFonts w:hint="eastAsia" w:ascii="宋体" w:hAnsi="宋体" w:cs="宋体"/>
          <w:kern w:val="0"/>
          <w:szCs w:val="21"/>
          <w:u w:val="none"/>
        </w:rPr>
        <w:t>书面形式</w:t>
      </w:r>
      <w:r>
        <w:rPr>
          <w:rFonts w:hint="eastAsia" w:ascii="宋体" w:hAnsi="宋体" w:cs="宋体"/>
          <w:kern w:val="0"/>
          <w:szCs w:val="21"/>
        </w:rPr>
        <w:t>通知所有招标文件收受人。更正公告或变更公告的内容为招标文件的必要组成部分，对所有投标人均具有约束作用。</w:t>
      </w:r>
    </w:p>
    <w:p>
      <w:pPr>
        <w:adjustRightInd w:val="0"/>
        <w:snapToGrid w:val="0"/>
        <w:spacing w:line="480" w:lineRule="exact"/>
        <w:ind w:firstLine="491" w:firstLineChars="234"/>
        <w:rPr>
          <w:rFonts w:ascii="宋体" w:hAnsi="宋体" w:cs="宋体"/>
          <w:kern w:val="0"/>
          <w:szCs w:val="21"/>
        </w:rPr>
      </w:pPr>
      <w:r>
        <w:rPr>
          <w:rFonts w:hint="eastAsia" w:ascii="宋体" w:hAnsi="宋体" w:cs="宋体"/>
          <w:kern w:val="0"/>
          <w:szCs w:val="21"/>
        </w:rPr>
        <w:t>7.4 集采机构将视情况确定是否有必要召开标前会。如果召开标前会，将向所有已</w:t>
      </w:r>
      <w:r>
        <w:rPr>
          <w:rFonts w:hint="eastAsia" w:ascii="宋体" w:hAnsi="宋体" w:cs="宋体"/>
          <w:kern w:val="0"/>
          <w:szCs w:val="21"/>
          <w:lang w:eastAsia="zh-CN"/>
        </w:rPr>
        <w:t>领取</w:t>
      </w:r>
      <w:r>
        <w:rPr>
          <w:rFonts w:hint="eastAsia" w:ascii="宋体" w:hAnsi="宋体" w:cs="宋体"/>
          <w:kern w:val="0"/>
          <w:szCs w:val="21"/>
        </w:rPr>
        <w:t>了招标文件的投标人发出通知。</w:t>
      </w:r>
    </w:p>
    <w:p>
      <w:pPr>
        <w:rPr>
          <w:rFonts w:ascii="宋体" w:hAnsi="宋体" w:cs="宋体"/>
          <w:kern w:val="0"/>
          <w:szCs w:val="21"/>
        </w:rPr>
      </w:pPr>
    </w:p>
    <w:p>
      <w:pPr>
        <w:keepNext/>
        <w:keepLines/>
        <w:adjustRightInd w:val="0"/>
        <w:spacing w:beforeLines="10" w:afterLines="10" w:line="480" w:lineRule="exact"/>
        <w:ind w:left="491" w:leftChars="234" w:firstLine="1033" w:firstLineChars="490"/>
        <w:outlineLvl w:val="1"/>
        <w:rPr>
          <w:rFonts w:ascii="宋体" w:hAnsi="宋体" w:cs="宋体"/>
          <w:b/>
          <w:kern w:val="0"/>
          <w:szCs w:val="21"/>
        </w:rPr>
      </w:pPr>
      <w:r>
        <w:rPr>
          <w:rFonts w:hint="eastAsia" w:ascii="宋体" w:hAnsi="宋体" w:cs="宋体"/>
          <w:b/>
          <w:kern w:val="0"/>
          <w:szCs w:val="21"/>
        </w:rPr>
        <w:t>三、</w:t>
      </w:r>
      <w:r>
        <w:rPr>
          <w:rFonts w:hint="eastAsia" w:ascii="宋体" w:hAnsi="宋体" w:cs="宋体"/>
          <w:b/>
          <w:kern w:val="0"/>
          <w:szCs w:val="21"/>
          <w:u w:val="single"/>
        </w:rPr>
        <w:t>投标文件</w:t>
      </w:r>
    </w:p>
    <w:p>
      <w:pPr>
        <w:adjustRightInd w:val="0"/>
        <w:snapToGrid w:val="0"/>
        <w:spacing w:line="480" w:lineRule="exact"/>
        <w:ind w:firstLine="422" w:firstLineChars="200"/>
        <w:rPr>
          <w:rFonts w:ascii="宋体" w:hAnsi="宋体" w:cs="宋体"/>
          <w:b/>
          <w:kern w:val="0"/>
          <w:szCs w:val="21"/>
        </w:rPr>
      </w:pPr>
      <w:r>
        <w:rPr>
          <w:rFonts w:hint="eastAsia" w:ascii="宋体" w:hAnsi="宋体" w:cs="宋体"/>
          <w:b/>
          <w:kern w:val="0"/>
          <w:szCs w:val="21"/>
        </w:rPr>
        <w:t>8. 投标文件的语言和计量单位</w:t>
      </w:r>
    </w:p>
    <w:p>
      <w:pPr>
        <w:adjustRightInd w:val="0"/>
        <w:snapToGrid w:val="0"/>
        <w:spacing w:line="480" w:lineRule="exact"/>
        <w:ind w:firstLine="420" w:firstLineChars="200"/>
        <w:rPr>
          <w:rFonts w:ascii="宋体" w:hAnsi="宋体" w:cs="宋体"/>
          <w:kern w:val="0"/>
          <w:szCs w:val="21"/>
        </w:rPr>
      </w:pPr>
      <w:r>
        <w:rPr>
          <w:rFonts w:hint="eastAsia" w:ascii="宋体" w:hAnsi="宋体" w:cs="宋体"/>
          <w:kern w:val="0"/>
          <w:szCs w:val="21"/>
        </w:rPr>
        <w:t>8.1投标人提交的投标文件（包括技术文件和资料、图纸中的说明）以及投标人与集采机构就有关投标的所有来往函电均应使用中文简体字。</w:t>
      </w:r>
    </w:p>
    <w:p>
      <w:pPr>
        <w:tabs>
          <w:tab w:val="left" w:pos="7050"/>
        </w:tabs>
        <w:adjustRightInd w:val="0"/>
        <w:snapToGrid w:val="0"/>
        <w:spacing w:line="480" w:lineRule="exact"/>
        <w:ind w:firstLine="432" w:firstLineChars="206"/>
        <w:rPr>
          <w:rFonts w:ascii="宋体" w:hAnsi="宋体" w:cs="宋体"/>
          <w:kern w:val="0"/>
          <w:szCs w:val="21"/>
        </w:rPr>
      </w:pPr>
      <w:r>
        <w:rPr>
          <w:rFonts w:hint="eastAsia" w:ascii="宋体" w:hAnsi="宋体" w:cs="宋体"/>
          <w:kern w:val="0"/>
          <w:szCs w:val="21"/>
        </w:rPr>
        <w:t>8.2投标文件所使用的计量单位，必须使用国家法定计量单位。</w:t>
      </w:r>
      <w:r>
        <w:rPr>
          <w:rFonts w:hint="eastAsia" w:ascii="宋体" w:hAnsi="宋体" w:cs="宋体"/>
          <w:kern w:val="0"/>
          <w:szCs w:val="21"/>
        </w:rPr>
        <w:tab/>
      </w:r>
    </w:p>
    <w:p>
      <w:pPr>
        <w:adjustRightInd w:val="0"/>
        <w:snapToGrid w:val="0"/>
        <w:spacing w:line="480" w:lineRule="exact"/>
        <w:ind w:firstLine="422" w:firstLineChars="200"/>
        <w:rPr>
          <w:rFonts w:ascii="宋体" w:hAnsi="宋体" w:cs="宋体"/>
          <w:b/>
          <w:kern w:val="0"/>
          <w:szCs w:val="21"/>
        </w:rPr>
      </w:pPr>
      <w:r>
        <w:rPr>
          <w:rFonts w:hint="eastAsia" w:ascii="宋体" w:hAnsi="宋体" w:cs="宋体"/>
          <w:b/>
          <w:kern w:val="0"/>
          <w:szCs w:val="21"/>
        </w:rPr>
        <w:t>9. 投标文件的组成及相关要求</w:t>
      </w:r>
    </w:p>
    <w:p>
      <w:pPr>
        <w:adjustRightInd w:val="0"/>
        <w:snapToGrid w:val="0"/>
        <w:spacing w:line="480" w:lineRule="exact"/>
        <w:ind w:firstLine="432" w:firstLineChars="206"/>
        <w:rPr>
          <w:rFonts w:hint="eastAsia" w:ascii="宋体" w:hAnsi="宋体" w:eastAsia="宋体" w:cs="宋体"/>
          <w:highlight w:val="none"/>
          <w:lang w:eastAsia="zh-CN"/>
        </w:rPr>
      </w:pPr>
      <w:r>
        <w:rPr>
          <w:rFonts w:hint="eastAsia" w:ascii="宋体" w:hAnsi="宋体" w:cs="宋体"/>
          <w:kern w:val="0"/>
          <w:szCs w:val="21"/>
        </w:rPr>
        <w:t>9.1 投标文件分为资格审查文件部分、符合性审查文件部分和开标报价文件部分。</w:t>
      </w:r>
      <w:r>
        <w:rPr>
          <w:rFonts w:hint="eastAsia" w:ascii="宋体" w:hAnsi="宋体" w:cs="宋体"/>
          <w:highlight w:val="none"/>
          <w:lang w:eastAsia="zh-CN"/>
        </w:rPr>
        <w:t>投标</w:t>
      </w:r>
      <w:r>
        <w:rPr>
          <w:rFonts w:hint="eastAsia" w:ascii="宋体" w:hAnsi="宋体" w:eastAsia="宋体" w:cs="宋体"/>
          <w:highlight w:val="none"/>
        </w:rPr>
        <w:t>文件以</w:t>
      </w:r>
      <w:r>
        <w:rPr>
          <w:rFonts w:hint="eastAsia" w:ascii="宋体" w:hAnsi="宋体" w:eastAsia="宋体" w:cs="宋体"/>
          <w:highlight w:val="none"/>
          <w:lang w:eastAsia="zh-CN"/>
        </w:rPr>
        <w:t>电子</w:t>
      </w:r>
      <w:r>
        <w:rPr>
          <w:rFonts w:hint="eastAsia" w:ascii="宋体" w:hAnsi="宋体" w:cs="宋体"/>
          <w:highlight w:val="none"/>
          <w:lang w:eastAsia="zh-CN"/>
        </w:rPr>
        <w:t>投标</w:t>
      </w:r>
      <w:r>
        <w:rPr>
          <w:rFonts w:hint="eastAsia" w:ascii="宋体" w:hAnsi="宋体" w:eastAsia="宋体" w:cs="宋体"/>
          <w:highlight w:val="none"/>
        </w:rPr>
        <w:t>文件</w:t>
      </w:r>
      <w:r>
        <w:rPr>
          <w:rFonts w:hint="eastAsia" w:ascii="宋体" w:hAnsi="宋体" w:eastAsia="宋体" w:cs="宋体"/>
          <w:highlight w:val="none"/>
          <w:lang w:eastAsia="zh-CN"/>
        </w:rPr>
        <w:t>形式提交。</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资格证明文件部分指</w:t>
      </w:r>
      <w:r>
        <w:rPr>
          <w:rFonts w:hint="eastAsia" w:ascii="宋体" w:hAnsi="宋体" w:cs="宋体"/>
          <w:szCs w:val="21"/>
          <w:lang w:eastAsia="zh-CN"/>
        </w:rPr>
        <w:t>投标人</w:t>
      </w:r>
      <w:r>
        <w:rPr>
          <w:rFonts w:hint="eastAsia" w:ascii="宋体" w:hAnsi="宋体" w:eastAsia="宋体" w:cs="宋体"/>
          <w:szCs w:val="21"/>
        </w:rPr>
        <w:t>提交的证明其有资格参加</w:t>
      </w:r>
      <w:r>
        <w:rPr>
          <w:rFonts w:hint="eastAsia" w:ascii="宋体" w:hAnsi="宋体" w:cs="宋体"/>
          <w:szCs w:val="21"/>
          <w:lang w:eastAsia="zh-CN"/>
        </w:rPr>
        <w:t>投标</w:t>
      </w:r>
      <w:r>
        <w:rPr>
          <w:rFonts w:hint="eastAsia" w:ascii="宋体" w:hAnsi="宋体" w:eastAsia="宋体" w:cs="宋体"/>
          <w:szCs w:val="21"/>
        </w:rPr>
        <w:t>的文件。</w:t>
      </w:r>
    </w:p>
    <w:p>
      <w:pPr>
        <w:snapToGrid w:val="0"/>
        <w:spacing w:line="360" w:lineRule="auto"/>
        <w:ind w:firstLine="420" w:firstLineChars="200"/>
        <w:rPr>
          <w:rFonts w:hint="eastAsia" w:ascii="宋体" w:hAnsi="宋体" w:eastAsia="宋体" w:cs="宋体"/>
          <w:szCs w:val="21"/>
        </w:rPr>
      </w:pPr>
      <w:r>
        <w:rPr>
          <w:rFonts w:hint="eastAsia" w:ascii="宋体" w:hAnsi="宋体" w:cs="宋体"/>
          <w:szCs w:val="21"/>
          <w:lang w:eastAsia="zh-CN"/>
        </w:rPr>
        <w:t>符合性审查</w:t>
      </w:r>
      <w:r>
        <w:rPr>
          <w:rFonts w:hint="eastAsia" w:ascii="宋体" w:hAnsi="宋体" w:eastAsia="宋体" w:cs="宋体"/>
          <w:szCs w:val="21"/>
        </w:rPr>
        <w:t>文件部分指</w:t>
      </w:r>
      <w:r>
        <w:rPr>
          <w:rFonts w:hint="eastAsia" w:ascii="宋体" w:hAnsi="宋体" w:cs="宋体"/>
          <w:szCs w:val="21"/>
          <w:lang w:eastAsia="zh-CN"/>
        </w:rPr>
        <w:t>投标人</w:t>
      </w:r>
      <w:r>
        <w:rPr>
          <w:rFonts w:hint="eastAsia" w:ascii="宋体" w:hAnsi="宋体" w:eastAsia="宋体" w:cs="宋体"/>
          <w:szCs w:val="21"/>
        </w:rPr>
        <w:t>提交的能够证明其提供的货物/服务满足</w:t>
      </w:r>
      <w:r>
        <w:rPr>
          <w:rFonts w:hint="eastAsia" w:ascii="宋体" w:hAnsi="宋体" w:cs="宋体"/>
          <w:szCs w:val="21"/>
          <w:lang w:eastAsia="zh-CN"/>
        </w:rPr>
        <w:t>招标</w:t>
      </w:r>
      <w:r>
        <w:rPr>
          <w:rFonts w:hint="eastAsia" w:ascii="宋体" w:hAnsi="宋体" w:eastAsia="宋体" w:cs="宋体"/>
          <w:szCs w:val="21"/>
        </w:rPr>
        <w:t>文件规定的文件。</w:t>
      </w:r>
    </w:p>
    <w:p>
      <w:pPr>
        <w:pStyle w:val="106"/>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9.1.1报价一览表</w:t>
      </w:r>
      <w:r>
        <w:rPr>
          <w:rFonts w:hint="eastAsia" w:ascii="宋体" w:hAnsi="宋体" w:eastAsia="宋体" w:cs="宋体"/>
          <w:b w:val="0"/>
          <w:bCs/>
          <w:sz w:val="21"/>
          <w:szCs w:val="21"/>
          <w:lang w:eastAsia="zh-CN"/>
        </w:rPr>
        <w:t>按照规定格式填报</w:t>
      </w:r>
      <w:r>
        <w:rPr>
          <w:rFonts w:hint="eastAsia" w:ascii="宋体" w:hAnsi="宋体" w:eastAsia="宋体" w:cs="宋体"/>
          <w:b w:val="0"/>
          <w:bCs/>
          <w:sz w:val="21"/>
          <w:szCs w:val="21"/>
        </w:rPr>
        <w:t>。</w:t>
      </w:r>
    </w:p>
    <w:p>
      <w:pPr>
        <w:pStyle w:val="106"/>
        <w:snapToGrid w:val="0"/>
        <w:spacing w:line="360" w:lineRule="auto"/>
        <w:ind w:firstLine="432" w:firstLineChars="206"/>
        <w:textAlignment w:val="auto"/>
        <w:rPr>
          <w:rFonts w:hint="eastAsia" w:ascii="宋体" w:hAnsi="宋体" w:eastAsia="宋体" w:cs="宋体"/>
          <w:b w:val="0"/>
          <w:bCs/>
          <w:sz w:val="21"/>
          <w:szCs w:val="21"/>
        </w:rPr>
      </w:pPr>
      <w:r>
        <w:rPr>
          <w:rFonts w:hint="eastAsia" w:ascii="宋体" w:hAnsi="宋体" w:eastAsia="宋体" w:cs="宋体"/>
          <w:b w:val="0"/>
          <w:bCs/>
          <w:sz w:val="21"/>
          <w:szCs w:val="21"/>
        </w:rPr>
        <w:t>9.2</w:t>
      </w:r>
      <w:r>
        <w:rPr>
          <w:rFonts w:hint="eastAsia" w:cs="宋体"/>
          <w:b w:val="0"/>
          <w:bCs/>
          <w:sz w:val="21"/>
          <w:szCs w:val="21"/>
          <w:lang w:eastAsia="zh-CN"/>
        </w:rPr>
        <w:t>投标文件</w:t>
      </w:r>
      <w:r>
        <w:rPr>
          <w:rFonts w:hint="eastAsia" w:ascii="宋体" w:hAnsi="宋体" w:eastAsia="宋体" w:cs="宋体"/>
          <w:b w:val="0"/>
          <w:bCs/>
          <w:sz w:val="21"/>
          <w:szCs w:val="21"/>
        </w:rPr>
        <w:t>的编制按</w:t>
      </w:r>
      <w:r>
        <w:rPr>
          <w:rFonts w:hint="eastAsia" w:ascii="宋体" w:hAnsi="宋体" w:eastAsia="宋体" w:cs="宋体"/>
          <w:b w:val="0"/>
          <w:bCs/>
          <w:sz w:val="21"/>
          <w:szCs w:val="21"/>
          <w:lang w:eastAsia="zh-CN"/>
        </w:rPr>
        <w:t>本</w:t>
      </w:r>
      <w:r>
        <w:rPr>
          <w:rFonts w:hint="eastAsia" w:ascii="宋体" w:hAnsi="宋体" w:eastAsia="宋体" w:cs="宋体"/>
          <w:b w:val="0"/>
          <w:bCs/>
          <w:sz w:val="21"/>
          <w:szCs w:val="21"/>
        </w:rPr>
        <w:t>部分第六条规定执行。</w:t>
      </w:r>
      <w:r>
        <w:rPr>
          <w:rFonts w:hint="eastAsia" w:cs="宋体"/>
          <w:b w:val="0"/>
          <w:bCs/>
          <w:sz w:val="21"/>
          <w:szCs w:val="21"/>
          <w:lang w:eastAsia="zh-CN"/>
        </w:rPr>
        <w:t>投标文件</w:t>
      </w:r>
      <w:r>
        <w:rPr>
          <w:rFonts w:hint="eastAsia" w:ascii="宋体" w:hAnsi="宋体" w:eastAsia="宋体" w:cs="宋体"/>
          <w:b w:val="0"/>
          <w:bCs/>
          <w:sz w:val="21"/>
          <w:szCs w:val="21"/>
        </w:rPr>
        <w:t>要求内容及编排顺序详见</w:t>
      </w:r>
      <w:r>
        <w:rPr>
          <w:rFonts w:hint="eastAsia" w:cs="宋体"/>
          <w:b w:val="0"/>
          <w:bCs/>
          <w:sz w:val="21"/>
          <w:szCs w:val="21"/>
          <w:lang w:eastAsia="zh-CN"/>
        </w:rPr>
        <w:t>投标人</w:t>
      </w:r>
      <w:r>
        <w:rPr>
          <w:rFonts w:hint="eastAsia" w:ascii="宋体" w:hAnsi="宋体" w:eastAsia="宋体" w:cs="宋体"/>
          <w:b w:val="0"/>
          <w:bCs/>
          <w:sz w:val="21"/>
          <w:szCs w:val="21"/>
        </w:rPr>
        <w:t>须知前附表序号</w:t>
      </w:r>
      <w:r>
        <w:rPr>
          <w:rFonts w:hint="eastAsia" w:cs="宋体"/>
          <w:b w:val="0"/>
          <w:bCs/>
          <w:sz w:val="21"/>
          <w:szCs w:val="21"/>
          <w:lang w:val="en-US" w:eastAsia="zh-CN"/>
        </w:rPr>
        <w:t>5</w:t>
      </w:r>
      <w:r>
        <w:rPr>
          <w:rFonts w:hint="eastAsia" w:ascii="宋体" w:hAnsi="宋体" w:eastAsia="宋体" w:cs="宋体"/>
          <w:b w:val="0"/>
          <w:bCs/>
          <w:sz w:val="21"/>
          <w:szCs w:val="21"/>
        </w:rPr>
        <w:t>、序号</w:t>
      </w:r>
      <w:r>
        <w:rPr>
          <w:rFonts w:hint="eastAsia" w:cs="宋体"/>
          <w:b w:val="0"/>
          <w:bCs/>
          <w:sz w:val="21"/>
          <w:szCs w:val="21"/>
          <w:lang w:val="en-US" w:eastAsia="zh-CN"/>
        </w:rPr>
        <w:t>6</w:t>
      </w:r>
      <w:r>
        <w:rPr>
          <w:rFonts w:hint="eastAsia" w:ascii="宋体" w:hAnsi="宋体" w:eastAsia="宋体" w:cs="宋体"/>
          <w:b w:val="0"/>
          <w:bCs/>
          <w:sz w:val="21"/>
          <w:szCs w:val="21"/>
        </w:rPr>
        <w:t>的要求及</w:t>
      </w:r>
      <w:r>
        <w:rPr>
          <w:rFonts w:hint="eastAsia" w:cs="宋体"/>
          <w:b w:val="0"/>
          <w:bCs/>
          <w:sz w:val="21"/>
          <w:szCs w:val="21"/>
          <w:lang w:eastAsia="zh-CN"/>
        </w:rPr>
        <w:t>投标人</w:t>
      </w:r>
      <w:r>
        <w:rPr>
          <w:rFonts w:hint="eastAsia" w:ascii="宋体" w:hAnsi="宋体" w:eastAsia="宋体" w:cs="宋体"/>
          <w:b w:val="0"/>
          <w:bCs/>
          <w:sz w:val="21"/>
          <w:szCs w:val="21"/>
        </w:rPr>
        <w:t>须知前附表序号</w:t>
      </w:r>
      <w:r>
        <w:rPr>
          <w:rFonts w:hint="eastAsia" w:cs="宋体"/>
          <w:b w:val="0"/>
          <w:bCs/>
          <w:sz w:val="21"/>
          <w:szCs w:val="21"/>
          <w:lang w:val="en-US" w:eastAsia="zh-CN"/>
        </w:rPr>
        <w:t>10</w:t>
      </w:r>
      <w:r>
        <w:rPr>
          <w:rFonts w:hint="eastAsia" w:ascii="宋体" w:hAnsi="宋体" w:eastAsia="宋体" w:cs="宋体"/>
          <w:b w:val="0"/>
          <w:bCs/>
          <w:sz w:val="21"/>
          <w:szCs w:val="21"/>
        </w:rPr>
        <w:t xml:space="preserve"> 的“政府采购相关政策要求”（若有的话）。有格式的详见本</w:t>
      </w:r>
      <w:r>
        <w:rPr>
          <w:rFonts w:hint="eastAsia" w:cs="宋体"/>
          <w:b w:val="0"/>
          <w:bCs/>
          <w:sz w:val="21"/>
          <w:szCs w:val="21"/>
          <w:lang w:eastAsia="zh-CN"/>
        </w:rPr>
        <w:t>招标</w:t>
      </w:r>
      <w:r>
        <w:rPr>
          <w:rFonts w:hint="eastAsia" w:ascii="宋体" w:hAnsi="宋体" w:eastAsia="宋体" w:cs="宋体"/>
          <w:b w:val="0"/>
          <w:bCs/>
          <w:sz w:val="21"/>
          <w:szCs w:val="21"/>
        </w:rPr>
        <w:t>文件第</w:t>
      </w:r>
      <w:r>
        <w:rPr>
          <w:rFonts w:hint="eastAsia" w:cs="宋体"/>
          <w:b w:val="0"/>
          <w:bCs/>
          <w:sz w:val="21"/>
          <w:szCs w:val="21"/>
          <w:lang w:eastAsia="zh-CN"/>
        </w:rPr>
        <w:t>八</w:t>
      </w:r>
      <w:r>
        <w:rPr>
          <w:rFonts w:hint="eastAsia" w:ascii="宋体" w:hAnsi="宋体" w:eastAsia="宋体" w:cs="宋体"/>
          <w:b w:val="0"/>
          <w:bCs/>
          <w:sz w:val="21"/>
          <w:szCs w:val="21"/>
        </w:rPr>
        <w:t>部分。</w:t>
      </w:r>
    </w:p>
    <w:p>
      <w:pPr>
        <w:pStyle w:val="106"/>
        <w:snapToGrid w:val="0"/>
        <w:spacing w:line="360" w:lineRule="auto"/>
        <w:ind w:firstLine="432" w:firstLineChars="206"/>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val="en-US" w:eastAsia="zh-CN"/>
        </w:rPr>
        <w:t>9.2.1</w:t>
      </w:r>
      <w:r>
        <w:rPr>
          <w:rFonts w:hint="eastAsia" w:cs="宋体"/>
          <w:b w:val="0"/>
          <w:bCs/>
          <w:sz w:val="21"/>
          <w:szCs w:val="21"/>
          <w:lang w:eastAsia="zh-CN"/>
        </w:rPr>
        <w:t>投标文件</w:t>
      </w:r>
      <w:r>
        <w:rPr>
          <w:rFonts w:hint="eastAsia" w:ascii="宋体" w:hAnsi="宋体" w:eastAsia="宋体" w:cs="宋体"/>
          <w:b w:val="0"/>
          <w:bCs/>
          <w:sz w:val="21"/>
          <w:szCs w:val="21"/>
          <w:lang w:eastAsia="zh-CN"/>
        </w:rPr>
        <w:t>的递交按第一部分第</w:t>
      </w:r>
      <w:r>
        <w:rPr>
          <w:rFonts w:hint="eastAsia" w:cs="宋体"/>
          <w:b w:val="0"/>
          <w:bCs/>
          <w:sz w:val="21"/>
          <w:szCs w:val="21"/>
          <w:lang w:eastAsia="zh-CN"/>
        </w:rPr>
        <w:t>六</w:t>
      </w:r>
      <w:r>
        <w:rPr>
          <w:rFonts w:hint="eastAsia" w:ascii="宋体" w:hAnsi="宋体" w:eastAsia="宋体" w:cs="宋体"/>
          <w:b w:val="0"/>
          <w:bCs/>
          <w:sz w:val="21"/>
          <w:szCs w:val="21"/>
          <w:lang w:eastAsia="zh-CN"/>
        </w:rPr>
        <w:t>条规定执行。</w:t>
      </w:r>
    </w:p>
    <w:p>
      <w:pPr>
        <w:adjustRightInd w:val="0"/>
        <w:snapToGrid w:val="0"/>
        <w:spacing w:line="480" w:lineRule="exact"/>
        <w:ind w:firstLine="432" w:firstLineChars="206"/>
        <w:rPr>
          <w:rFonts w:ascii="宋体" w:hAnsi="宋体" w:cs="宋体"/>
          <w:kern w:val="0"/>
          <w:szCs w:val="21"/>
        </w:rPr>
      </w:pPr>
      <w:r>
        <w:rPr>
          <w:rFonts w:hint="eastAsia" w:ascii="宋体" w:hAnsi="宋体" w:cs="宋体"/>
          <w:kern w:val="0"/>
          <w:szCs w:val="21"/>
        </w:rPr>
        <w:t>9.3 投标保证金</w:t>
      </w:r>
    </w:p>
    <w:p>
      <w:pPr>
        <w:tabs>
          <w:tab w:val="left" w:pos="1080"/>
        </w:tabs>
        <w:adjustRightInd w:val="0"/>
        <w:snapToGrid w:val="0"/>
        <w:spacing w:line="480" w:lineRule="exact"/>
        <w:ind w:firstLine="420" w:firstLineChars="200"/>
        <w:rPr>
          <w:rFonts w:ascii="宋体" w:hAnsi="宋体" w:cs="宋体"/>
          <w:kern w:val="0"/>
          <w:szCs w:val="21"/>
        </w:rPr>
      </w:pPr>
      <w:r>
        <w:rPr>
          <w:rFonts w:hint="eastAsia" w:ascii="宋体" w:hAnsi="宋体" w:cs="宋体"/>
          <w:kern w:val="0"/>
          <w:szCs w:val="21"/>
        </w:rPr>
        <w:t>9.3.1 见投标人须知前附表</w:t>
      </w:r>
    </w:p>
    <w:p>
      <w:pPr>
        <w:adjustRightInd w:val="0"/>
        <w:snapToGrid w:val="0"/>
        <w:spacing w:line="480" w:lineRule="exact"/>
        <w:ind w:firstLine="432" w:firstLineChars="206"/>
        <w:rPr>
          <w:rFonts w:ascii="宋体" w:hAnsi="宋体" w:cs="宋体"/>
          <w:kern w:val="0"/>
          <w:szCs w:val="21"/>
        </w:rPr>
      </w:pPr>
      <w:r>
        <w:rPr>
          <w:rFonts w:hint="eastAsia" w:ascii="宋体" w:hAnsi="宋体" w:cs="宋体"/>
          <w:kern w:val="0"/>
          <w:szCs w:val="21"/>
        </w:rPr>
        <w:t>9.3.2 中标结果公告期满后，未中标的投标人的投标保证金将在5个工作日内予以退付。</w:t>
      </w:r>
    </w:p>
    <w:p>
      <w:pPr>
        <w:snapToGrid w:val="0"/>
        <w:spacing w:line="480" w:lineRule="exact"/>
        <w:ind w:firstLine="432" w:firstLineChars="206"/>
        <w:rPr>
          <w:rFonts w:ascii="宋体" w:hAnsi="宋体" w:cs="宋体"/>
          <w:kern w:val="0"/>
          <w:szCs w:val="21"/>
        </w:rPr>
      </w:pPr>
      <w:r>
        <w:rPr>
          <w:rFonts w:hint="eastAsia" w:ascii="宋体" w:hAnsi="宋体" w:cs="宋体"/>
          <w:kern w:val="0"/>
          <w:szCs w:val="21"/>
        </w:rPr>
        <w:t>9.3.3 中标供应商与采购人签订政府采购合同后，须将所有合同送集采机构盖备案章，公共资源交易中心将在合同备案后5个工作日内将中标供应商的投标保证金予以退付。</w:t>
      </w:r>
    </w:p>
    <w:p>
      <w:pPr>
        <w:adjustRightInd w:val="0"/>
        <w:snapToGrid w:val="0"/>
        <w:spacing w:line="480" w:lineRule="exact"/>
        <w:ind w:firstLine="420" w:firstLineChars="200"/>
        <w:rPr>
          <w:rFonts w:ascii="宋体" w:hAnsi="宋体" w:cs="宋体"/>
          <w:kern w:val="0"/>
          <w:szCs w:val="21"/>
        </w:rPr>
      </w:pPr>
      <w:r>
        <w:rPr>
          <w:rFonts w:hint="eastAsia" w:ascii="宋体" w:hAnsi="宋体" w:cs="宋体"/>
          <w:kern w:val="0"/>
          <w:szCs w:val="21"/>
        </w:rPr>
        <w:t>9.4 投标报价</w:t>
      </w:r>
    </w:p>
    <w:p>
      <w:pPr>
        <w:snapToGrid w:val="0"/>
        <w:spacing w:line="480" w:lineRule="exact"/>
        <w:ind w:firstLine="420" w:firstLineChars="200"/>
        <w:rPr>
          <w:rFonts w:ascii="宋体" w:hAnsi="宋体" w:cs="宋体"/>
          <w:kern w:val="0"/>
          <w:szCs w:val="21"/>
        </w:rPr>
      </w:pPr>
      <w:r>
        <w:rPr>
          <w:rFonts w:hint="eastAsia" w:ascii="宋体" w:hAnsi="宋体" w:cs="宋体"/>
          <w:kern w:val="0"/>
          <w:szCs w:val="21"/>
        </w:rPr>
        <w:t>9.4.1 所有投标报价均以人民币元为计算单位。只要投报了一个确定数额的总价，无论分项价格是否全部填报了相应的金额或免费字样，报价均被视为已经包含了但并不限于各项购买货物及其运送、安装、调试、验收、保险和相关服务等的费用。在其它情况下，</w:t>
      </w:r>
      <w:r>
        <w:rPr>
          <w:rFonts w:hint="eastAsia" w:ascii="宋体" w:hAnsi="宋体" w:cs="宋体"/>
          <w:kern w:val="0"/>
          <w:szCs w:val="21"/>
          <w:u w:val="single"/>
        </w:rPr>
        <w:t>由于分项报价填报不完整、不清楚或存在其它任何失误，所导致的任何不利后果均应当由投标人自行承担</w:t>
      </w:r>
      <w:r>
        <w:rPr>
          <w:rFonts w:hint="eastAsia" w:ascii="宋体" w:hAnsi="宋体" w:cs="宋体"/>
          <w:kern w:val="0"/>
          <w:szCs w:val="21"/>
        </w:rPr>
        <w:t>。</w:t>
      </w:r>
    </w:p>
    <w:p>
      <w:pPr>
        <w:snapToGrid w:val="0"/>
        <w:spacing w:line="480" w:lineRule="exact"/>
        <w:ind w:firstLine="432" w:firstLineChars="206"/>
        <w:rPr>
          <w:rFonts w:ascii="宋体" w:hAnsi="宋体" w:cs="宋体"/>
          <w:kern w:val="0"/>
          <w:szCs w:val="21"/>
        </w:rPr>
      </w:pPr>
      <w:r>
        <w:rPr>
          <w:rFonts w:hint="eastAsia" w:ascii="宋体" w:hAnsi="宋体" w:cs="宋体"/>
          <w:kern w:val="0"/>
          <w:szCs w:val="21"/>
        </w:rPr>
        <w:t>9.4.2 投标人投报多包的，应对每包分别报价并分别填报开标报价一览表。</w:t>
      </w:r>
    </w:p>
    <w:p>
      <w:pPr>
        <w:snapToGrid w:val="0"/>
        <w:spacing w:line="480" w:lineRule="exact"/>
        <w:ind w:firstLine="432" w:firstLineChars="206"/>
        <w:rPr>
          <w:rFonts w:ascii="宋体" w:hAnsi="宋体" w:cs="宋体"/>
          <w:kern w:val="0"/>
          <w:szCs w:val="21"/>
        </w:rPr>
      </w:pPr>
      <w:r>
        <w:rPr>
          <w:rFonts w:hint="eastAsia" w:ascii="宋体" w:hAnsi="宋体" w:cs="宋体"/>
          <w:kern w:val="0"/>
          <w:szCs w:val="21"/>
        </w:rPr>
        <w:t xml:space="preserve">9.4.3 </w:t>
      </w:r>
      <w:r>
        <w:rPr>
          <w:rFonts w:hint="eastAsia" w:ascii="宋体" w:hAnsi="宋体" w:cs="宋体"/>
          <w:kern w:val="0"/>
          <w:szCs w:val="21"/>
          <w:u w:val="single"/>
        </w:rPr>
        <w:t>本次招标不接受可选择或可调整的投标和报价</w:t>
      </w:r>
      <w:r>
        <w:rPr>
          <w:rFonts w:hint="eastAsia" w:ascii="宋体" w:hAnsi="宋体" w:cs="宋体"/>
          <w:kern w:val="0"/>
          <w:szCs w:val="21"/>
        </w:rPr>
        <w:t>。</w:t>
      </w:r>
    </w:p>
    <w:p>
      <w:pPr>
        <w:snapToGrid w:val="0"/>
        <w:spacing w:line="480" w:lineRule="exact"/>
        <w:ind w:firstLine="432" w:firstLineChars="206"/>
        <w:rPr>
          <w:rFonts w:ascii="宋体" w:hAnsi="宋体" w:cs="宋体"/>
          <w:kern w:val="0"/>
          <w:szCs w:val="21"/>
        </w:rPr>
      </w:pPr>
      <w:r>
        <w:rPr>
          <w:rFonts w:hint="eastAsia" w:ascii="宋体" w:hAnsi="宋体" w:cs="宋体"/>
          <w:kern w:val="0"/>
          <w:szCs w:val="21"/>
        </w:rPr>
        <w:t>9.4.4 投标人要按投标货物数量、价格表(统一格式)的内容填写货物单价（包括货物报价、装箱、包装、包装物料、送货和保险费用、售后服务、技术支持、技术培训、安装调试、备品备件）、总价及其他事项。</w:t>
      </w:r>
    </w:p>
    <w:p>
      <w:pPr>
        <w:snapToGrid w:val="0"/>
        <w:spacing w:line="480" w:lineRule="exact"/>
        <w:ind w:firstLine="432" w:firstLineChars="206"/>
        <w:rPr>
          <w:rFonts w:ascii="宋体" w:hAnsi="宋体" w:cs="宋体"/>
          <w:kern w:val="0"/>
          <w:szCs w:val="21"/>
        </w:rPr>
      </w:pPr>
      <w:r>
        <w:rPr>
          <w:rFonts w:hint="eastAsia" w:ascii="宋体" w:hAnsi="宋体" w:cs="宋体"/>
          <w:kern w:val="0"/>
          <w:szCs w:val="21"/>
        </w:rPr>
        <w:t>9.4.5 投标人对投标报价若有说明应在开标报价一览表显著位置注明，只有开标时唱出的报价优惠承诺才会在评标时予以考虑。</w:t>
      </w:r>
    </w:p>
    <w:p>
      <w:pPr>
        <w:snapToGrid w:val="0"/>
        <w:spacing w:line="480" w:lineRule="exact"/>
        <w:ind w:firstLine="432" w:firstLineChars="206"/>
        <w:rPr>
          <w:rFonts w:ascii="宋体" w:hAnsi="宋体" w:cs="宋体"/>
          <w:kern w:val="0"/>
          <w:szCs w:val="21"/>
        </w:rPr>
      </w:pPr>
      <w:r>
        <w:rPr>
          <w:rFonts w:hint="eastAsia" w:ascii="宋体" w:hAnsi="宋体" w:cs="宋体"/>
          <w:kern w:val="0"/>
          <w:szCs w:val="21"/>
        </w:rPr>
        <w:t>9.4.6 投标的报价优惠承诺应对应开标报价一览表、投标货物数量价格表等提供相应的明细清单。除报价优惠承诺外，任何超出招标文件要求而额外赠送的软硬件设备、免费培训等其他形式的优惠，在评标时将不作为价格折算的必备条件。</w:t>
      </w:r>
    </w:p>
    <w:p>
      <w:pPr>
        <w:snapToGrid w:val="0"/>
        <w:spacing w:line="480" w:lineRule="exact"/>
        <w:ind w:firstLine="432" w:firstLineChars="206"/>
        <w:rPr>
          <w:rFonts w:ascii="宋体" w:hAnsi="宋体" w:cs="宋体"/>
          <w:kern w:val="0"/>
          <w:szCs w:val="21"/>
          <w:highlight w:val="green"/>
        </w:rPr>
      </w:pPr>
      <w:r>
        <w:rPr>
          <w:rFonts w:hint="eastAsia" w:ascii="宋体" w:hAnsi="宋体" w:cs="宋体"/>
          <w:kern w:val="0"/>
          <w:szCs w:val="21"/>
        </w:rPr>
        <w:t>9.4.7 对于有配件、耗材、选件、备件和特殊工具的货物，还应填报投标货物配件、耗材、选件、备件及特殊工具清单，注明品牌、型号、产地、功能、单价、批量折扣等内容，该表格式由投标人自行设计。</w:t>
      </w:r>
    </w:p>
    <w:p>
      <w:pPr>
        <w:adjustRightInd w:val="0"/>
        <w:snapToGrid w:val="0"/>
        <w:spacing w:line="480" w:lineRule="exact"/>
        <w:ind w:firstLine="434" w:firstLineChars="206"/>
        <w:rPr>
          <w:rFonts w:ascii="宋体" w:hAnsi="宋体" w:cs="宋体"/>
          <w:b/>
          <w:kern w:val="0"/>
          <w:szCs w:val="21"/>
        </w:rPr>
      </w:pPr>
      <w:r>
        <w:rPr>
          <w:rFonts w:hint="eastAsia" w:ascii="宋体" w:hAnsi="宋体" w:cs="宋体"/>
          <w:b/>
          <w:kern w:val="0"/>
          <w:szCs w:val="21"/>
        </w:rPr>
        <w:t>10. 投标内容填写说明</w:t>
      </w:r>
    </w:p>
    <w:p>
      <w:pPr>
        <w:spacing w:line="480" w:lineRule="exact"/>
        <w:ind w:firstLine="432" w:firstLineChars="206"/>
        <w:rPr>
          <w:rFonts w:ascii="宋体" w:hAnsi="宋体" w:cs="宋体"/>
          <w:kern w:val="0"/>
          <w:szCs w:val="21"/>
        </w:rPr>
      </w:pPr>
      <w:r>
        <w:rPr>
          <w:rFonts w:hint="eastAsia" w:ascii="宋体" w:hAnsi="宋体" w:cs="宋体"/>
          <w:kern w:val="0"/>
          <w:szCs w:val="21"/>
        </w:rPr>
        <w:t xml:space="preserve">10.1 </w:t>
      </w:r>
      <w:r>
        <w:rPr>
          <w:rFonts w:hint="eastAsia" w:ascii="宋体" w:hAnsi="宋体" w:cs="宋体"/>
          <w:kern w:val="0"/>
          <w:szCs w:val="21"/>
          <w:u w:val="single"/>
        </w:rPr>
        <w:t>投标人应详细阅读招标文件的全部内容。投标文件须对招标文件中的内容做出明确响应</w:t>
      </w:r>
      <w:r>
        <w:rPr>
          <w:rFonts w:hint="eastAsia" w:ascii="宋体" w:hAnsi="宋体" w:cs="宋体"/>
          <w:kern w:val="0"/>
          <w:szCs w:val="21"/>
        </w:rPr>
        <w:t>。</w:t>
      </w:r>
    </w:p>
    <w:p>
      <w:pPr>
        <w:spacing w:line="480" w:lineRule="exact"/>
        <w:ind w:firstLine="432" w:firstLineChars="206"/>
        <w:rPr>
          <w:rFonts w:ascii="宋体" w:hAnsi="宋体" w:cs="宋体"/>
          <w:kern w:val="0"/>
          <w:szCs w:val="21"/>
        </w:rPr>
      </w:pPr>
      <w:r>
        <w:rPr>
          <w:rFonts w:hint="eastAsia" w:ascii="宋体" w:hAnsi="宋体" w:cs="宋体"/>
          <w:kern w:val="0"/>
          <w:szCs w:val="21"/>
        </w:rPr>
        <w:t>10.2 投标人照搬照抄招标文件技术、商务要求，并未提供技术资料或提供资料不详的，评标委员会有权决定是否通知投标人限期进行书面解释或提供相关证明材料。</w:t>
      </w:r>
      <w:r>
        <w:rPr>
          <w:rFonts w:hint="eastAsia" w:ascii="宋体" w:hAnsi="宋体" w:cs="宋体"/>
          <w:kern w:val="0"/>
          <w:szCs w:val="21"/>
          <w:u w:val="single"/>
        </w:rPr>
        <w:t>该投标人在规定时间内未做出解释、做出的解释不合理或不能提供证明材料的，评标委员会有权作无效投标处理</w:t>
      </w:r>
      <w:r>
        <w:rPr>
          <w:rFonts w:hint="eastAsia" w:ascii="宋体" w:hAnsi="宋体" w:cs="宋体"/>
          <w:kern w:val="0"/>
          <w:szCs w:val="21"/>
        </w:rPr>
        <w:t>。</w:t>
      </w:r>
    </w:p>
    <w:p>
      <w:pPr>
        <w:spacing w:line="480" w:lineRule="exact"/>
        <w:ind w:firstLine="432" w:firstLineChars="206"/>
        <w:rPr>
          <w:rFonts w:ascii="宋体" w:hAnsi="宋体" w:cs="宋体"/>
          <w:kern w:val="0"/>
          <w:szCs w:val="21"/>
        </w:rPr>
      </w:pPr>
      <w:r>
        <w:rPr>
          <w:rFonts w:hint="eastAsia" w:ascii="宋体" w:hAnsi="宋体" w:cs="宋体"/>
          <w:kern w:val="0"/>
          <w:szCs w:val="21"/>
        </w:rPr>
        <w:t>10.3 投标文件应严格按照招标文件第二部分投标人须知前附表的要求提交，有固定格式要求的须按提供的统一格式逐项填写，不准有空项；无相应内容可填的项应填写“无”、“未测试”、“没有相应指标”等明确的回答文字。</w:t>
      </w:r>
    </w:p>
    <w:p>
      <w:pPr>
        <w:spacing w:line="480" w:lineRule="exact"/>
        <w:ind w:firstLine="432" w:firstLineChars="206"/>
        <w:rPr>
          <w:rFonts w:ascii="宋体" w:hAnsi="宋体" w:cs="宋体"/>
          <w:kern w:val="0"/>
          <w:szCs w:val="21"/>
        </w:rPr>
      </w:pPr>
      <w:r>
        <w:rPr>
          <w:rFonts w:hint="eastAsia" w:ascii="宋体" w:hAnsi="宋体" w:cs="宋体"/>
          <w:kern w:val="0"/>
          <w:szCs w:val="21"/>
        </w:rPr>
        <w:t>10.4 开标报价一览表为唱标的内容，要求按格式统一填写。</w:t>
      </w:r>
    </w:p>
    <w:p>
      <w:pPr>
        <w:spacing w:line="480" w:lineRule="exact"/>
        <w:ind w:firstLine="432" w:firstLineChars="206"/>
        <w:rPr>
          <w:rFonts w:ascii="宋体" w:hAnsi="宋体" w:cs="宋体"/>
          <w:kern w:val="0"/>
          <w:szCs w:val="21"/>
        </w:rPr>
      </w:pPr>
      <w:r>
        <w:rPr>
          <w:rFonts w:hint="eastAsia" w:ascii="宋体" w:hAnsi="宋体" w:cs="宋体"/>
          <w:kern w:val="0"/>
          <w:szCs w:val="21"/>
        </w:rPr>
        <w:t xml:space="preserve">10.5 </w:t>
      </w:r>
      <w:r>
        <w:rPr>
          <w:rFonts w:hint="eastAsia" w:ascii="宋体" w:hAnsi="宋体" w:cs="宋体"/>
          <w:kern w:val="0"/>
          <w:szCs w:val="21"/>
          <w:u w:val="single"/>
        </w:rPr>
        <w:t>投标人必须保证投标文件所提供的全部资料真实可靠，并接受评标委员会对其中任何资料进一步审查的要求</w:t>
      </w:r>
      <w:r>
        <w:rPr>
          <w:rFonts w:hint="eastAsia" w:ascii="宋体" w:hAnsi="宋体" w:cs="宋体"/>
          <w:kern w:val="0"/>
          <w:szCs w:val="21"/>
        </w:rPr>
        <w:t>。</w:t>
      </w:r>
    </w:p>
    <w:p>
      <w:pPr>
        <w:spacing w:line="480" w:lineRule="exact"/>
        <w:ind w:firstLine="432" w:firstLineChars="206"/>
        <w:rPr>
          <w:rFonts w:ascii="宋体" w:hAnsi="宋体" w:cs="宋体"/>
          <w:kern w:val="0"/>
          <w:szCs w:val="21"/>
        </w:rPr>
      </w:pPr>
      <w:r>
        <w:rPr>
          <w:rFonts w:hint="eastAsia" w:ascii="宋体" w:hAnsi="宋体" w:cs="宋体"/>
          <w:kern w:val="0"/>
          <w:szCs w:val="21"/>
        </w:rPr>
        <w:t>10.6 为提倡诚实信用的投标行为，特别要求投标人应本着诚信的原则，在本次投标文件的偏离表和其它偏离文件中(若本次招标文件中没有提供偏离表或其它偏离文件样本，投标人亦应当自制偏离表并装订于本次投标文件中，并应当在总目录及分目录上清楚表明所在页数)，以审慎的态度明确、清楚地披露各项偏离。若投标人对某一事项是否存在或是否属于偏离不能确定，亦必须在偏离表中清楚地表明该偏离事项，并可以注明‘不能确定’的字样。</w:t>
      </w:r>
    </w:p>
    <w:p>
      <w:pPr>
        <w:spacing w:line="480" w:lineRule="exact"/>
        <w:ind w:firstLine="432" w:firstLineChars="206"/>
        <w:rPr>
          <w:rFonts w:ascii="宋体" w:hAnsi="宋体" w:cs="宋体"/>
          <w:kern w:val="0"/>
          <w:szCs w:val="21"/>
        </w:rPr>
      </w:pPr>
      <w:r>
        <w:rPr>
          <w:rFonts w:hint="eastAsia" w:ascii="宋体" w:hAnsi="宋体" w:cs="宋体"/>
          <w:kern w:val="0"/>
          <w:szCs w:val="21"/>
        </w:rPr>
        <w:t xml:space="preserve">10.7 </w:t>
      </w:r>
      <w:r>
        <w:rPr>
          <w:rFonts w:hint="eastAsia" w:ascii="宋体" w:hAnsi="宋体" w:cs="宋体"/>
          <w:kern w:val="0"/>
          <w:szCs w:val="21"/>
          <w:u w:val="single"/>
        </w:rPr>
        <w:t>因投标文件字迹潦草、提交资料不清晰或表达不清楚所引起的不利后果由投标人承担</w:t>
      </w:r>
      <w:r>
        <w:rPr>
          <w:rFonts w:hint="eastAsia" w:ascii="宋体" w:hAnsi="宋体" w:cs="宋体"/>
          <w:kern w:val="0"/>
          <w:szCs w:val="21"/>
        </w:rPr>
        <w:t>。</w:t>
      </w:r>
    </w:p>
    <w:p>
      <w:pPr>
        <w:spacing w:line="480" w:lineRule="exact"/>
        <w:ind w:firstLine="434" w:firstLineChars="206"/>
        <w:rPr>
          <w:rFonts w:ascii="宋体" w:hAnsi="宋体" w:cs="宋体"/>
          <w:kern w:val="0"/>
          <w:szCs w:val="21"/>
        </w:rPr>
      </w:pPr>
      <w:r>
        <w:rPr>
          <w:rFonts w:hint="eastAsia" w:ascii="宋体" w:hAnsi="宋体" w:cs="宋体"/>
          <w:b/>
          <w:kern w:val="0"/>
          <w:szCs w:val="21"/>
        </w:rPr>
        <w:t>11</w:t>
      </w:r>
      <w:r>
        <w:rPr>
          <w:rFonts w:hint="eastAsia" w:ascii="宋体" w:hAnsi="宋体" w:cs="宋体"/>
          <w:kern w:val="0"/>
          <w:szCs w:val="21"/>
        </w:rPr>
        <w:t>.投标文件的有效期限</w:t>
      </w:r>
    </w:p>
    <w:p>
      <w:pPr>
        <w:adjustRightInd w:val="0"/>
        <w:snapToGrid w:val="0"/>
        <w:spacing w:line="480" w:lineRule="exact"/>
        <w:ind w:firstLine="432" w:firstLineChars="206"/>
        <w:rPr>
          <w:rFonts w:ascii="宋体" w:hAnsi="宋体" w:cs="宋体"/>
          <w:kern w:val="0"/>
          <w:szCs w:val="21"/>
        </w:rPr>
      </w:pPr>
      <w:r>
        <w:rPr>
          <w:rFonts w:hint="eastAsia" w:ascii="宋体" w:hAnsi="宋体" w:cs="宋体"/>
          <w:kern w:val="0"/>
          <w:szCs w:val="21"/>
        </w:rPr>
        <w:t>本项目投标文件的有效期见投标人须知前附表，</w:t>
      </w:r>
      <w:r>
        <w:rPr>
          <w:rFonts w:hint="eastAsia" w:ascii="宋体" w:hAnsi="宋体" w:cs="宋体"/>
          <w:kern w:val="0"/>
          <w:szCs w:val="21"/>
          <w:u w:val="single"/>
        </w:rPr>
        <w:t>有效期短于该规定期限的投标文件投标无效</w:t>
      </w:r>
      <w:r>
        <w:rPr>
          <w:rFonts w:hint="eastAsia" w:ascii="宋体" w:hAnsi="宋体" w:cs="宋体"/>
          <w:kern w:val="0"/>
          <w:szCs w:val="21"/>
        </w:rPr>
        <w:t>。</w:t>
      </w:r>
    </w:p>
    <w:p>
      <w:pPr>
        <w:spacing w:line="480" w:lineRule="exact"/>
        <w:ind w:firstLine="432" w:firstLineChars="206"/>
        <w:rPr>
          <w:rFonts w:ascii="宋体" w:hAnsi="宋体" w:cs="宋体"/>
          <w:kern w:val="0"/>
          <w:szCs w:val="21"/>
        </w:rPr>
      </w:pPr>
      <w:r>
        <w:rPr>
          <w:rFonts w:hint="eastAsia" w:ascii="宋体" w:hAnsi="宋体" w:cs="宋体"/>
          <w:kern w:val="0"/>
          <w:szCs w:val="21"/>
        </w:rPr>
        <w:t>12.投标文件的签署</w:t>
      </w:r>
    </w:p>
    <w:p>
      <w:pPr>
        <w:spacing w:line="480" w:lineRule="exact"/>
        <w:ind w:firstLine="432" w:firstLineChars="206"/>
        <w:rPr>
          <w:rFonts w:ascii="宋体" w:hAnsi="宋体" w:cs="宋体"/>
          <w:kern w:val="0"/>
          <w:szCs w:val="21"/>
        </w:rPr>
      </w:pPr>
      <w:r>
        <w:rPr>
          <w:rFonts w:hint="eastAsia" w:ascii="宋体" w:hAnsi="宋体" w:cs="宋体"/>
          <w:kern w:val="0"/>
          <w:szCs w:val="21"/>
        </w:rPr>
        <w:t>12.1 组成投标文件的各种文件均应遵守本款规定。</w:t>
      </w:r>
    </w:p>
    <w:p>
      <w:pPr>
        <w:ind w:firstLine="420" w:firstLineChars="200"/>
        <w:rPr>
          <w:rFonts w:ascii="宋体" w:hAnsi="宋体" w:cs="宋体"/>
          <w:color w:val="auto"/>
          <w:kern w:val="0"/>
          <w:szCs w:val="21"/>
        </w:rPr>
      </w:pPr>
      <w:r>
        <w:rPr>
          <w:rFonts w:hint="eastAsia" w:ascii="宋体" w:hAnsi="宋体" w:cs="宋体"/>
          <w:kern w:val="0"/>
          <w:szCs w:val="21"/>
        </w:rPr>
        <w:t>12.2</w:t>
      </w:r>
      <w:r>
        <w:rPr>
          <w:rFonts w:hint="eastAsia" w:ascii="宋体" w:hAnsi="宋体" w:cs="宋体"/>
          <w:b/>
          <w:bCs/>
          <w:color w:val="auto"/>
          <w:kern w:val="0"/>
          <w:szCs w:val="21"/>
          <w:u w:val="single"/>
        </w:rPr>
        <w:t>投标人在投标文件及相关文件的签订、履行、通知等事项的书面文件中的“单位盖章”、“印章”、“公章”等处均仅指与当事人名称全称相一致的标准公章，不得使用其它（如带有“专用章”等字样）的印章，否则将作为无效投标处理</w:t>
      </w:r>
      <w:r>
        <w:rPr>
          <w:rFonts w:hint="eastAsia" w:ascii="宋体" w:hAnsi="宋体" w:cs="宋体"/>
          <w:b/>
          <w:bCs/>
          <w:color w:val="auto"/>
          <w:kern w:val="0"/>
          <w:szCs w:val="21"/>
        </w:rPr>
        <w:t>。</w:t>
      </w:r>
    </w:p>
    <w:p>
      <w:pPr>
        <w:keepNext/>
        <w:keepLines/>
        <w:adjustRightInd w:val="0"/>
        <w:spacing w:beforeLines="10" w:afterLines="10" w:line="480" w:lineRule="exact"/>
        <w:outlineLvl w:val="1"/>
        <w:rPr>
          <w:rFonts w:ascii="宋体" w:hAnsi="宋体" w:cs="宋体"/>
          <w:b/>
          <w:kern w:val="0"/>
          <w:szCs w:val="21"/>
        </w:rPr>
      </w:pPr>
      <w:r>
        <w:rPr>
          <w:rFonts w:hint="eastAsia" w:ascii="宋体" w:hAnsi="宋体" w:cs="宋体"/>
          <w:b/>
          <w:kern w:val="0"/>
          <w:szCs w:val="21"/>
        </w:rPr>
        <w:t xml:space="preserve">四、投标文件的递交     </w:t>
      </w:r>
    </w:p>
    <w:p>
      <w:pPr>
        <w:pStyle w:val="106"/>
        <w:snapToGrid w:val="0"/>
        <w:spacing w:line="480" w:lineRule="exact"/>
        <w:ind w:firstLine="420" w:firstLineChars="200"/>
        <w:textAlignment w:val="auto"/>
        <w:rPr>
          <w:rFonts w:hint="eastAsia" w:ascii="宋体" w:hAnsi="宋体" w:eastAsia="宋体" w:cs="宋体"/>
          <w:b w:val="0"/>
          <w:bCs/>
          <w:sz w:val="21"/>
          <w:szCs w:val="21"/>
        </w:rPr>
      </w:pPr>
      <w:r>
        <w:rPr>
          <w:rStyle w:val="202"/>
          <w:rFonts w:ascii="宋体" w:hAnsi="宋体"/>
          <w:b w:val="0"/>
          <w:bCs/>
          <w:kern w:val="0"/>
          <w:sz w:val="21"/>
          <w:szCs w:val="21"/>
          <w:lang w:val="en-US" w:eastAsia="zh-CN" w:bidi="ar-SA"/>
        </w:rPr>
        <w:t>13 .</w:t>
      </w:r>
      <w:r>
        <w:rPr>
          <w:rStyle w:val="202"/>
          <w:rFonts w:hint="eastAsia"/>
          <w:b w:val="0"/>
          <w:bCs/>
          <w:kern w:val="0"/>
          <w:sz w:val="21"/>
          <w:szCs w:val="21"/>
          <w:lang w:val="en-US" w:eastAsia="zh-CN" w:bidi="ar-SA"/>
        </w:rPr>
        <w:t>递交</w:t>
      </w:r>
      <w:r>
        <w:rPr>
          <w:rFonts w:hint="eastAsia" w:cs="宋体"/>
          <w:b w:val="0"/>
          <w:bCs/>
          <w:sz w:val="21"/>
          <w:szCs w:val="21"/>
          <w:lang w:eastAsia="zh-CN"/>
        </w:rPr>
        <w:t>投标文件</w:t>
      </w:r>
      <w:r>
        <w:rPr>
          <w:rFonts w:hint="eastAsia" w:ascii="宋体" w:hAnsi="宋体" w:eastAsia="宋体" w:cs="宋体"/>
          <w:b w:val="0"/>
          <w:bCs/>
          <w:sz w:val="21"/>
          <w:szCs w:val="21"/>
        </w:rPr>
        <w:t>截止时间</w:t>
      </w:r>
    </w:p>
    <w:p>
      <w:pPr>
        <w:pStyle w:val="106"/>
        <w:snapToGrid w:val="0"/>
        <w:spacing w:line="480" w:lineRule="exact"/>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rPr>
        <w:t>1</w:t>
      </w:r>
      <w:r>
        <w:rPr>
          <w:rFonts w:hint="eastAsia" w:ascii="宋体" w:hAnsi="宋体" w:eastAsia="宋体" w:cs="宋体"/>
          <w:b w:val="0"/>
          <w:bCs/>
          <w:kern w:val="2"/>
          <w:sz w:val="21"/>
          <w:szCs w:val="21"/>
          <w:lang w:val="en-US" w:eastAsia="zh-CN"/>
        </w:rPr>
        <w:t>3</w:t>
      </w:r>
      <w:r>
        <w:rPr>
          <w:rFonts w:hint="eastAsia" w:ascii="宋体" w:hAnsi="宋体" w:eastAsia="宋体" w:cs="宋体"/>
          <w:b w:val="0"/>
          <w:bCs/>
          <w:kern w:val="2"/>
          <w:sz w:val="21"/>
          <w:szCs w:val="21"/>
        </w:rPr>
        <w:t>.</w:t>
      </w:r>
      <w:r>
        <w:rPr>
          <w:rFonts w:hint="eastAsia" w:ascii="宋体" w:hAnsi="宋体" w:eastAsia="宋体" w:cs="宋体"/>
          <w:b w:val="0"/>
          <w:bCs/>
          <w:kern w:val="2"/>
          <w:sz w:val="21"/>
          <w:szCs w:val="21"/>
          <w:highlight w:val="none"/>
        </w:rPr>
        <w:t>1</w:t>
      </w:r>
      <w:r>
        <w:rPr>
          <w:rFonts w:hint="eastAsia" w:cs="宋体"/>
          <w:b w:val="0"/>
          <w:bCs/>
          <w:kern w:val="2"/>
          <w:sz w:val="21"/>
          <w:szCs w:val="21"/>
          <w:highlight w:val="none"/>
          <w:lang w:eastAsia="zh-CN"/>
        </w:rPr>
        <w:t>投标文件</w:t>
      </w:r>
      <w:r>
        <w:rPr>
          <w:rFonts w:hint="eastAsia" w:ascii="宋体" w:hAnsi="宋体" w:eastAsia="宋体" w:cs="宋体"/>
          <w:b w:val="0"/>
          <w:bCs/>
          <w:kern w:val="2"/>
          <w:sz w:val="21"/>
          <w:szCs w:val="21"/>
          <w:highlight w:val="none"/>
        </w:rPr>
        <w:t>须按照</w:t>
      </w:r>
      <w:r>
        <w:rPr>
          <w:rFonts w:hint="eastAsia" w:cs="宋体"/>
          <w:b w:val="0"/>
          <w:bCs/>
          <w:kern w:val="2"/>
          <w:sz w:val="21"/>
          <w:szCs w:val="21"/>
          <w:highlight w:val="none"/>
          <w:lang w:eastAsia="zh-CN"/>
        </w:rPr>
        <w:t>招标文件</w:t>
      </w:r>
      <w:r>
        <w:rPr>
          <w:rFonts w:hint="eastAsia" w:ascii="宋体" w:hAnsi="宋体" w:eastAsia="宋体" w:cs="宋体"/>
          <w:b w:val="0"/>
          <w:bCs/>
          <w:kern w:val="2"/>
          <w:sz w:val="21"/>
          <w:szCs w:val="21"/>
          <w:highlight w:val="none"/>
        </w:rPr>
        <w:t>第一部分</w:t>
      </w:r>
      <w:r>
        <w:rPr>
          <w:rFonts w:hint="eastAsia" w:cs="宋体"/>
          <w:b w:val="0"/>
          <w:bCs/>
          <w:kern w:val="2"/>
          <w:sz w:val="21"/>
          <w:szCs w:val="21"/>
          <w:highlight w:val="none"/>
          <w:lang w:eastAsia="zh-CN"/>
        </w:rPr>
        <w:t>投标</w:t>
      </w:r>
      <w:r>
        <w:rPr>
          <w:rFonts w:hint="eastAsia" w:ascii="宋体" w:hAnsi="宋体" w:eastAsia="宋体" w:cs="宋体"/>
          <w:b w:val="0"/>
          <w:bCs/>
          <w:kern w:val="2"/>
          <w:sz w:val="21"/>
          <w:szCs w:val="21"/>
          <w:highlight w:val="none"/>
        </w:rPr>
        <w:t>邀请中规定的</w:t>
      </w:r>
      <w:r>
        <w:rPr>
          <w:rFonts w:hint="eastAsia" w:ascii="宋体" w:hAnsi="宋体" w:eastAsia="宋体" w:cs="宋体"/>
          <w:b w:val="0"/>
          <w:bCs/>
          <w:kern w:val="2"/>
          <w:sz w:val="21"/>
          <w:szCs w:val="21"/>
          <w:highlight w:val="none"/>
          <w:lang w:eastAsia="zh-CN"/>
        </w:rPr>
        <w:t>截止</w:t>
      </w:r>
      <w:r>
        <w:rPr>
          <w:rFonts w:hint="eastAsia" w:ascii="宋体" w:hAnsi="宋体" w:eastAsia="宋体" w:cs="宋体"/>
          <w:b w:val="0"/>
          <w:bCs/>
          <w:kern w:val="2"/>
          <w:sz w:val="21"/>
          <w:szCs w:val="21"/>
          <w:highlight w:val="none"/>
        </w:rPr>
        <w:t>时间</w:t>
      </w:r>
      <w:r>
        <w:rPr>
          <w:rFonts w:hint="eastAsia" w:ascii="宋体" w:hAnsi="宋体" w:eastAsia="宋体" w:cs="宋体"/>
          <w:b w:val="0"/>
          <w:bCs/>
          <w:kern w:val="2"/>
          <w:sz w:val="21"/>
          <w:szCs w:val="21"/>
          <w:highlight w:val="none"/>
          <w:lang w:eastAsia="zh-CN"/>
        </w:rPr>
        <w:t>前递交</w:t>
      </w:r>
      <w:r>
        <w:rPr>
          <w:rFonts w:hint="eastAsia" w:ascii="宋体" w:hAnsi="宋体" w:eastAsia="宋体" w:cs="宋体"/>
          <w:b w:val="0"/>
          <w:bCs/>
          <w:kern w:val="2"/>
          <w:sz w:val="21"/>
          <w:szCs w:val="21"/>
          <w:highlight w:val="none"/>
        </w:rPr>
        <w:t>。</w:t>
      </w:r>
      <w:r>
        <w:rPr>
          <w:rFonts w:hint="eastAsia" w:cs="宋体"/>
          <w:b w:val="0"/>
          <w:bCs/>
          <w:kern w:val="2"/>
          <w:sz w:val="21"/>
          <w:szCs w:val="21"/>
          <w:highlight w:val="none"/>
          <w:lang w:eastAsia="zh-CN"/>
        </w:rPr>
        <w:t>投标人</w:t>
      </w:r>
      <w:r>
        <w:rPr>
          <w:rFonts w:hint="eastAsia" w:ascii="宋体" w:hAnsi="宋体" w:eastAsia="宋体" w:cs="宋体"/>
          <w:b w:val="0"/>
          <w:bCs/>
          <w:kern w:val="2"/>
          <w:sz w:val="21"/>
          <w:szCs w:val="21"/>
          <w:highlight w:val="none"/>
        </w:rPr>
        <w:t>在规定的时间未递交</w:t>
      </w:r>
      <w:r>
        <w:rPr>
          <w:rFonts w:hint="eastAsia" w:cs="宋体"/>
          <w:b w:val="0"/>
          <w:bCs/>
          <w:kern w:val="2"/>
          <w:sz w:val="21"/>
          <w:szCs w:val="21"/>
          <w:highlight w:val="none"/>
          <w:lang w:eastAsia="zh-CN"/>
        </w:rPr>
        <w:t>投标文件</w:t>
      </w:r>
      <w:r>
        <w:rPr>
          <w:rFonts w:hint="eastAsia" w:ascii="宋体" w:hAnsi="宋体" w:eastAsia="宋体" w:cs="宋体"/>
          <w:b w:val="0"/>
          <w:bCs/>
          <w:kern w:val="2"/>
          <w:sz w:val="21"/>
          <w:szCs w:val="21"/>
          <w:highlight w:val="none"/>
        </w:rPr>
        <w:t>的，</w:t>
      </w:r>
      <w:r>
        <w:rPr>
          <w:rFonts w:hint="eastAsia" w:ascii="宋体" w:hAnsi="宋体" w:eastAsia="宋体" w:cs="宋体"/>
          <w:b w:val="0"/>
          <w:bCs/>
          <w:kern w:val="2"/>
          <w:sz w:val="21"/>
          <w:szCs w:val="21"/>
          <w:highlight w:val="none"/>
          <w:lang w:eastAsia="zh-CN"/>
        </w:rPr>
        <w:t>投标</w:t>
      </w:r>
      <w:r>
        <w:rPr>
          <w:rFonts w:hint="eastAsia" w:ascii="宋体" w:hAnsi="宋体" w:eastAsia="宋体" w:cs="宋体"/>
          <w:b w:val="0"/>
          <w:bCs/>
          <w:kern w:val="2"/>
          <w:sz w:val="21"/>
          <w:szCs w:val="21"/>
          <w:highlight w:val="none"/>
        </w:rPr>
        <w:t>无效。</w:t>
      </w:r>
      <w:r>
        <w:rPr>
          <w:rFonts w:hint="eastAsia" w:cs="宋体"/>
          <w:b w:val="0"/>
          <w:bCs/>
          <w:kern w:val="2"/>
          <w:sz w:val="21"/>
          <w:szCs w:val="21"/>
          <w:highlight w:val="none"/>
          <w:lang w:eastAsia="zh-CN"/>
        </w:rPr>
        <w:t>投标文件</w:t>
      </w:r>
      <w:r>
        <w:rPr>
          <w:rFonts w:hint="eastAsia" w:ascii="宋体" w:hAnsi="宋体" w:eastAsia="宋体" w:cs="宋体"/>
          <w:b w:val="0"/>
          <w:bCs/>
          <w:kern w:val="2"/>
          <w:sz w:val="21"/>
          <w:szCs w:val="21"/>
          <w:highlight w:val="none"/>
        </w:rPr>
        <w:t>须按照</w:t>
      </w:r>
      <w:r>
        <w:rPr>
          <w:rFonts w:hint="eastAsia" w:cs="宋体"/>
          <w:b w:val="0"/>
          <w:bCs/>
          <w:kern w:val="2"/>
          <w:sz w:val="21"/>
          <w:szCs w:val="21"/>
          <w:highlight w:val="none"/>
          <w:lang w:eastAsia="zh-CN"/>
        </w:rPr>
        <w:t>招标文件</w:t>
      </w:r>
      <w:r>
        <w:rPr>
          <w:rFonts w:hint="eastAsia" w:ascii="宋体" w:hAnsi="宋体" w:eastAsia="宋体" w:cs="宋体"/>
          <w:b w:val="0"/>
          <w:bCs/>
          <w:kern w:val="2"/>
          <w:sz w:val="21"/>
          <w:szCs w:val="21"/>
          <w:highlight w:val="none"/>
        </w:rPr>
        <w:t>第一部分</w:t>
      </w:r>
      <w:r>
        <w:rPr>
          <w:rFonts w:hint="eastAsia" w:cs="宋体"/>
          <w:b w:val="0"/>
          <w:bCs/>
          <w:kern w:val="2"/>
          <w:sz w:val="21"/>
          <w:szCs w:val="21"/>
          <w:highlight w:val="none"/>
          <w:lang w:eastAsia="zh-CN"/>
        </w:rPr>
        <w:t>投标</w:t>
      </w:r>
      <w:r>
        <w:rPr>
          <w:rFonts w:hint="eastAsia" w:ascii="宋体" w:hAnsi="宋体" w:eastAsia="宋体" w:cs="宋体"/>
          <w:b w:val="0"/>
          <w:bCs/>
          <w:kern w:val="2"/>
          <w:sz w:val="21"/>
          <w:szCs w:val="21"/>
          <w:highlight w:val="none"/>
        </w:rPr>
        <w:t>邀请中规定的解密时间进行解密，</w:t>
      </w:r>
      <w:r>
        <w:rPr>
          <w:rFonts w:hint="eastAsia" w:cs="宋体"/>
          <w:b w:val="0"/>
          <w:bCs/>
          <w:kern w:val="2"/>
          <w:sz w:val="21"/>
          <w:szCs w:val="21"/>
          <w:highlight w:val="none"/>
          <w:lang w:eastAsia="zh-CN"/>
        </w:rPr>
        <w:t>投标人</w:t>
      </w:r>
      <w:r>
        <w:rPr>
          <w:rFonts w:hint="eastAsia" w:ascii="宋体" w:hAnsi="宋体" w:eastAsia="宋体" w:cs="宋体"/>
          <w:b w:val="0"/>
          <w:bCs/>
          <w:kern w:val="2"/>
          <w:sz w:val="21"/>
          <w:szCs w:val="21"/>
          <w:highlight w:val="none"/>
          <w:lang w:eastAsia="zh-CN"/>
        </w:rPr>
        <w:t>由于自身原因未</w:t>
      </w:r>
      <w:r>
        <w:rPr>
          <w:rFonts w:hint="eastAsia" w:ascii="宋体" w:hAnsi="宋体" w:eastAsia="宋体" w:cs="宋体"/>
          <w:b w:val="0"/>
          <w:bCs/>
          <w:kern w:val="2"/>
          <w:sz w:val="21"/>
          <w:szCs w:val="21"/>
          <w:highlight w:val="none"/>
        </w:rPr>
        <w:t>在规定的时间</w:t>
      </w:r>
      <w:r>
        <w:rPr>
          <w:rFonts w:hint="eastAsia" w:ascii="宋体" w:hAnsi="宋体" w:eastAsia="宋体" w:cs="宋体"/>
          <w:b w:val="0"/>
          <w:bCs/>
          <w:kern w:val="2"/>
          <w:sz w:val="21"/>
          <w:szCs w:val="21"/>
          <w:highlight w:val="none"/>
          <w:lang w:eastAsia="zh-CN"/>
        </w:rPr>
        <w:t>内</w:t>
      </w:r>
      <w:r>
        <w:rPr>
          <w:rFonts w:hint="eastAsia" w:ascii="宋体" w:hAnsi="宋体" w:eastAsia="宋体" w:cs="宋体"/>
          <w:b w:val="0"/>
          <w:bCs/>
          <w:kern w:val="2"/>
          <w:sz w:val="21"/>
          <w:szCs w:val="21"/>
          <w:highlight w:val="none"/>
        </w:rPr>
        <w:t>进行解密的，</w:t>
      </w:r>
      <w:r>
        <w:rPr>
          <w:rFonts w:hint="eastAsia" w:ascii="宋体" w:hAnsi="宋体" w:eastAsia="宋体" w:cs="宋体"/>
          <w:b w:val="0"/>
          <w:bCs/>
          <w:kern w:val="2"/>
          <w:sz w:val="21"/>
          <w:szCs w:val="21"/>
          <w:highlight w:val="none"/>
          <w:lang w:eastAsia="zh-CN"/>
        </w:rPr>
        <w:t>投标</w:t>
      </w:r>
      <w:r>
        <w:rPr>
          <w:rFonts w:hint="eastAsia" w:ascii="宋体" w:hAnsi="宋体" w:eastAsia="宋体" w:cs="宋体"/>
          <w:b w:val="0"/>
          <w:bCs/>
          <w:kern w:val="2"/>
          <w:sz w:val="21"/>
          <w:szCs w:val="21"/>
          <w:highlight w:val="none"/>
        </w:rPr>
        <w:t>无效。</w:t>
      </w:r>
    </w:p>
    <w:p>
      <w:pPr>
        <w:spacing w:line="480" w:lineRule="exact"/>
        <w:ind w:firstLine="432" w:firstLineChars="206"/>
        <w:rPr>
          <w:rStyle w:val="202"/>
          <w:rFonts w:ascii="宋体" w:hAnsi="宋体"/>
          <w:b w:val="0"/>
          <w:bCs/>
          <w:kern w:val="0"/>
          <w:sz w:val="21"/>
          <w:szCs w:val="21"/>
          <w:lang w:val="en-US" w:eastAsia="zh-CN" w:bidi="ar-SA"/>
        </w:rPr>
      </w:pPr>
      <w:r>
        <w:rPr>
          <w:rFonts w:hint="eastAsia" w:ascii="宋体" w:hAnsi="宋体" w:eastAsia="宋体" w:cs="宋体"/>
          <w:b w:val="0"/>
          <w:bCs/>
          <w:sz w:val="21"/>
          <w:szCs w:val="21"/>
        </w:rPr>
        <w:t>1</w:t>
      </w:r>
      <w:r>
        <w:rPr>
          <w:rFonts w:hint="eastAsia" w:ascii="宋体" w:hAnsi="宋体" w:eastAsia="宋体" w:cs="宋体"/>
          <w:b w:val="0"/>
          <w:bCs/>
          <w:sz w:val="21"/>
          <w:szCs w:val="21"/>
          <w:lang w:val="en-US" w:eastAsia="zh-CN"/>
        </w:rPr>
        <w:t>3</w:t>
      </w:r>
      <w:r>
        <w:rPr>
          <w:rFonts w:hint="eastAsia" w:ascii="宋体" w:hAnsi="宋体" w:eastAsia="宋体" w:cs="宋体"/>
          <w:b w:val="0"/>
          <w:bCs/>
          <w:sz w:val="21"/>
          <w:szCs w:val="21"/>
        </w:rPr>
        <w:t>.2 集采机构根据本须知的规定，通过修改</w:t>
      </w:r>
      <w:r>
        <w:rPr>
          <w:rFonts w:hint="eastAsia" w:ascii="宋体" w:hAnsi="宋体" w:cs="宋体"/>
          <w:b w:val="0"/>
          <w:bCs/>
          <w:sz w:val="21"/>
          <w:szCs w:val="21"/>
          <w:lang w:eastAsia="zh-CN"/>
        </w:rPr>
        <w:t>招标文件</w:t>
      </w:r>
      <w:r>
        <w:rPr>
          <w:rFonts w:hint="eastAsia" w:ascii="宋体" w:hAnsi="宋体" w:eastAsia="宋体" w:cs="宋体"/>
          <w:b w:val="0"/>
          <w:bCs/>
          <w:sz w:val="21"/>
          <w:szCs w:val="21"/>
        </w:rPr>
        <w:t>或自行决定延长首次</w:t>
      </w:r>
      <w:r>
        <w:rPr>
          <w:rFonts w:hint="eastAsia" w:ascii="宋体" w:hAnsi="宋体" w:cs="宋体"/>
          <w:b w:val="0"/>
          <w:bCs/>
          <w:sz w:val="21"/>
          <w:szCs w:val="21"/>
          <w:lang w:eastAsia="zh-CN"/>
        </w:rPr>
        <w:t>投标文件</w:t>
      </w:r>
      <w:r>
        <w:rPr>
          <w:rFonts w:hint="eastAsia" w:ascii="宋体" w:hAnsi="宋体" w:eastAsia="宋体" w:cs="宋体"/>
          <w:b w:val="0"/>
          <w:bCs/>
          <w:sz w:val="21"/>
          <w:szCs w:val="21"/>
        </w:rPr>
        <w:t>截止日期的，采购人和</w:t>
      </w:r>
      <w:r>
        <w:rPr>
          <w:rFonts w:hint="eastAsia" w:ascii="宋体" w:hAnsi="宋体" w:cs="宋体"/>
          <w:b w:val="0"/>
          <w:bCs/>
          <w:sz w:val="21"/>
          <w:szCs w:val="21"/>
          <w:lang w:eastAsia="zh-CN"/>
        </w:rPr>
        <w:t>投标人</w:t>
      </w:r>
      <w:r>
        <w:rPr>
          <w:rFonts w:hint="eastAsia" w:ascii="宋体" w:hAnsi="宋体" w:eastAsia="宋体" w:cs="宋体"/>
          <w:b w:val="0"/>
          <w:bCs/>
          <w:sz w:val="21"/>
          <w:szCs w:val="21"/>
        </w:rPr>
        <w:t>受提交截止日期制约的所有权利和义务均延长至新的截止日期。</w:t>
      </w:r>
    </w:p>
    <w:p>
      <w:pPr>
        <w:spacing w:line="480" w:lineRule="exact"/>
        <w:ind w:firstLine="434" w:firstLineChars="206"/>
        <w:rPr>
          <w:rFonts w:ascii="宋体" w:hAnsi="宋体" w:cs="宋体"/>
          <w:b/>
          <w:kern w:val="0"/>
          <w:szCs w:val="21"/>
        </w:rPr>
      </w:pPr>
      <w:r>
        <w:rPr>
          <w:rFonts w:hint="eastAsia" w:ascii="宋体" w:hAnsi="宋体" w:cs="宋体"/>
          <w:b/>
          <w:kern w:val="0"/>
          <w:szCs w:val="21"/>
        </w:rPr>
        <w:t>15．投标文件的补充、修改和撤回</w:t>
      </w:r>
    </w:p>
    <w:p>
      <w:pPr>
        <w:spacing w:line="360" w:lineRule="auto"/>
        <w:ind w:firstLine="432" w:firstLineChars="206"/>
        <w:rPr>
          <w:rFonts w:hint="eastAsia" w:ascii="宋体" w:hAnsi="宋体" w:eastAsia="宋体" w:cs="宋体"/>
          <w:kern w:val="0"/>
          <w:szCs w:val="21"/>
          <w:highlight w:val="none"/>
        </w:rPr>
      </w:pPr>
      <w:r>
        <w:rPr>
          <w:rFonts w:hint="eastAsia" w:ascii="宋体" w:hAnsi="宋体" w:cs="宋体"/>
          <w:kern w:val="0"/>
          <w:szCs w:val="21"/>
        </w:rPr>
        <w:t xml:space="preserve">15.1 </w:t>
      </w:r>
      <w:r>
        <w:rPr>
          <w:rFonts w:hint="eastAsia" w:ascii="宋体" w:hAnsi="宋体" w:cs="宋体"/>
          <w:szCs w:val="21"/>
          <w:highlight w:val="none"/>
          <w:lang w:eastAsia="zh-CN"/>
        </w:rPr>
        <w:t>投标人</w:t>
      </w:r>
      <w:r>
        <w:rPr>
          <w:rFonts w:hint="eastAsia" w:ascii="宋体" w:hAnsi="宋体" w:eastAsia="宋体" w:cs="宋体"/>
          <w:color w:val="000000"/>
          <w:kern w:val="0"/>
          <w:szCs w:val="21"/>
          <w:highlight w:val="none"/>
        </w:rPr>
        <w:t>在</w:t>
      </w:r>
      <w:r>
        <w:rPr>
          <w:rFonts w:hint="eastAsia" w:ascii="宋体" w:hAnsi="宋体" w:eastAsia="宋体" w:cs="宋体"/>
          <w:color w:val="000000"/>
          <w:kern w:val="0"/>
          <w:szCs w:val="21"/>
          <w:highlight w:val="none"/>
          <w:lang w:eastAsia="zh-CN"/>
        </w:rPr>
        <w:t>投标</w:t>
      </w:r>
      <w:r>
        <w:rPr>
          <w:rFonts w:hint="eastAsia" w:ascii="宋体" w:hAnsi="宋体" w:eastAsia="宋体" w:cs="宋体"/>
          <w:color w:val="000000"/>
          <w:kern w:val="0"/>
          <w:szCs w:val="21"/>
          <w:highlight w:val="none"/>
        </w:rPr>
        <w:t>截止时间前，可对</w:t>
      </w:r>
      <w:r>
        <w:rPr>
          <w:rFonts w:hint="eastAsia" w:ascii="宋体" w:hAnsi="宋体" w:cs="宋体"/>
          <w:szCs w:val="21"/>
          <w:highlight w:val="none"/>
          <w:lang w:eastAsia="zh-CN"/>
        </w:rPr>
        <w:t>投标</w:t>
      </w:r>
      <w:r>
        <w:rPr>
          <w:rFonts w:hint="eastAsia" w:ascii="宋体" w:hAnsi="宋体" w:eastAsia="宋体" w:cs="宋体"/>
          <w:szCs w:val="21"/>
          <w:highlight w:val="none"/>
        </w:rPr>
        <w:t>文件</w:t>
      </w:r>
      <w:r>
        <w:rPr>
          <w:rFonts w:hint="eastAsia" w:ascii="宋体" w:hAnsi="宋体" w:eastAsia="宋体" w:cs="宋体"/>
          <w:color w:val="000000"/>
          <w:kern w:val="0"/>
          <w:szCs w:val="21"/>
          <w:highlight w:val="none"/>
        </w:rPr>
        <w:t>进行补充、修改或者撤回。</w:t>
      </w:r>
    </w:p>
    <w:p>
      <w:pPr>
        <w:spacing w:line="360" w:lineRule="auto"/>
        <w:ind w:firstLine="432" w:firstLineChars="206"/>
        <w:rPr>
          <w:rFonts w:ascii="宋体" w:hAnsi="宋体" w:cs="宋体"/>
          <w:kern w:val="0"/>
          <w:szCs w:val="21"/>
        </w:rPr>
      </w:pPr>
      <w:r>
        <w:rPr>
          <w:rFonts w:hint="eastAsia" w:ascii="宋体" w:hAnsi="宋体" w:eastAsia="宋体" w:cs="宋体"/>
          <w:color w:val="000000"/>
          <w:kern w:val="0"/>
          <w:szCs w:val="21"/>
        </w:rPr>
        <w:t>1</w:t>
      </w:r>
      <w:r>
        <w:rPr>
          <w:rFonts w:hint="eastAsia" w:ascii="宋体" w:hAnsi="宋体" w:eastAsia="宋体" w:cs="宋体"/>
          <w:color w:val="000000"/>
          <w:kern w:val="0"/>
          <w:szCs w:val="21"/>
          <w:lang w:val="en-US" w:eastAsia="zh-CN"/>
        </w:rPr>
        <w:t>4</w:t>
      </w:r>
      <w:r>
        <w:rPr>
          <w:rFonts w:hint="eastAsia" w:ascii="宋体" w:hAnsi="宋体" w:eastAsia="宋体" w:cs="宋体"/>
          <w:color w:val="000000"/>
          <w:kern w:val="0"/>
          <w:szCs w:val="21"/>
        </w:rPr>
        <w:t>.</w:t>
      </w:r>
      <w:r>
        <w:rPr>
          <w:rFonts w:hint="eastAsia" w:ascii="宋体" w:hAnsi="宋体" w:eastAsia="宋体" w:cs="宋体"/>
          <w:color w:val="000000"/>
          <w:szCs w:val="21"/>
          <w:lang w:val="en-US" w:eastAsia="zh-CN"/>
        </w:rPr>
        <w:t>2</w:t>
      </w:r>
      <w:r>
        <w:rPr>
          <w:rFonts w:hint="eastAsia" w:ascii="宋体" w:hAnsi="宋体" w:eastAsia="宋体" w:cs="宋体"/>
          <w:color w:val="000000"/>
          <w:kern w:val="0"/>
          <w:szCs w:val="21"/>
        </w:rPr>
        <w:t>在</w:t>
      </w:r>
      <w:r>
        <w:rPr>
          <w:rFonts w:hint="eastAsia" w:ascii="宋体" w:hAnsi="宋体" w:cs="宋体"/>
          <w:color w:val="000000"/>
          <w:kern w:val="0"/>
          <w:szCs w:val="21"/>
          <w:lang w:eastAsia="zh-CN"/>
        </w:rPr>
        <w:t>招标</w:t>
      </w:r>
      <w:r>
        <w:rPr>
          <w:rFonts w:hint="eastAsia" w:ascii="宋体" w:hAnsi="宋体" w:eastAsia="宋体" w:cs="宋体"/>
          <w:color w:val="000000"/>
          <w:kern w:val="0"/>
          <w:szCs w:val="21"/>
        </w:rPr>
        <w:t>文件要求的</w:t>
      </w:r>
      <w:r>
        <w:rPr>
          <w:rFonts w:hint="eastAsia" w:ascii="宋体" w:hAnsi="宋体" w:cs="宋体"/>
          <w:szCs w:val="21"/>
          <w:lang w:eastAsia="zh-CN"/>
        </w:rPr>
        <w:t>投标</w:t>
      </w:r>
      <w:r>
        <w:rPr>
          <w:rFonts w:hint="eastAsia" w:ascii="宋体" w:hAnsi="宋体" w:eastAsia="宋体" w:cs="宋体"/>
          <w:color w:val="000000"/>
          <w:kern w:val="0"/>
          <w:szCs w:val="21"/>
        </w:rPr>
        <w:t>文件提交截止时间之后，</w:t>
      </w:r>
      <w:r>
        <w:rPr>
          <w:rFonts w:hint="eastAsia" w:ascii="宋体" w:hAnsi="宋体" w:cs="宋体"/>
          <w:szCs w:val="21"/>
          <w:lang w:eastAsia="zh-CN"/>
        </w:rPr>
        <w:t>投标人</w:t>
      </w:r>
      <w:r>
        <w:rPr>
          <w:rFonts w:hint="eastAsia" w:ascii="宋体" w:hAnsi="宋体" w:eastAsia="宋体" w:cs="宋体"/>
          <w:color w:val="000000"/>
          <w:kern w:val="0"/>
          <w:szCs w:val="21"/>
        </w:rPr>
        <w:t>不得对其</w:t>
      </w:r>
      <w:r>
        <w:rPr>
          <w:rFonts w:hint="eastAsia" w:ascii="宋体" w:hAnsi="宋体" w:cs="宋体"/>
          <w:szCs w:val="21"/>
          <w:lang w:eastAsia="zh-CN"/>
        </w:rPr>
        <w:t>投标</w:t>
      </w:r>
      <w:r>
        <w:rPr>
          <w:rFonts w:hint="eastAsia" w:ascii="宋体" w:hAnsi="宋体" w:eastAsia="宋体" w:cs="宋体"/>
          <w:color w:val="000000"/>
          <w:kern w:val="0"/>
          <w:szCs w:val="21"/>
        </w:rPr>
        <w:t>文件进行补充、修改或撤回。</w:t>
      </w:r>
    </w:p>
    <w:p>
      <w:pPr>
        <w:keepNext/>
        <w:keepLines/>
        <w:adjustRightInd w:val="0"/>
        <w:spacing w:beforeLines="10" w:afterLines="10" w:line="480" w:lineRule="exact"/>
        <w:ind w:left="840"/>
        <w:outlineLvl w:val="1"/>
        <w:rPr>
          <w:rFonts w:ascii="宋体" w:hAnsi="宋体" w:cs="宋体"/>
          <w:b/>
          <w:kern w:val="0"/>
          <w:szCs w:val="21"/>
        </w:rPr>
      </w:pPr>
      <w:r>
        <w:rPr>
          <w:rFonts w:hint="eastAsia" w:ascii="宋体" w:hAnsi="宋体" w:cs="宋体"/>
          <w:b/>
          <w:kern w:val="0"/>
          <w:szCs w:val="21"/>
        </w:rPr>
        <w:t xml:space="preserve">五、开标     </w:t>
      </w:r>
    </w:p>
    <w:p>
      <w:pPr>
        <w:spacing w:line="480" w:lineRule="exact"/>
        <w:ind w:firstLine="476" w:firstLineChars="226"/>
        <w:rPr>
          <w:rFonts w:ascii="宋体" w:hAnsi="宋体" w:cs="宋体"/>
          <w:b/>
          <w:kern w:val="0"/>
          <w:szCs w:val="21"/>
        </w:rPr>
      </w:pPr>
      <w:r>
        <w:rPr>
          <w:rFonts w:hint="eastAsia" w:ascii="宋体" w:hAnsi="宋体" w:cs="宋体"/>
          <w:b/>
          <w:kern w:val="0"/>
          <w:szCs w:val="21"/>
        </w:rPr>
        <w:t>16. 开标及其有关事项</w:t>
      </w:r>
    </w:p>
    <w:p>
      <w:pPr>
        <w:pStyle w:val="106"/>
        <w:snapToGrid w:val="0"/>
        <w:spacing w:line="480" w:lineRule="exact"/>
        <w:ind w:firstLine="474" w:firstLineChars="226"/>
        <w:rPr>
          <w:rFonts w:cs="宋体"/>
          <w:b w:val="0"/>
          <w:bCs/>
          <w:sz w:val="21"/>
          <w:szCs w:val="21"/>
        </w:rPr>
      </w:pPr>
      <w:r>
        <w:rPr>
          <w:rFonts w:hint="eastAsia" w:cs="宋体"/>
          <w:b w:val="0"/>
          <w:bCs/>
          <w:sz w:val="21"/>
          <w:szCs w:val="21"/>
        </w:rPr>
        <w:t>16.1集采机构按招标文件规定的时间、地点主持开标活动，采购人代表及有关工作人员参加。</w:t>
      </w:r>
    </w:p>
    <w:p>
      <w:pPr>
        <w:keepNext/>
        <w:keepLines/>
        <w:adjustRightInd w:val="0"/>
        <w:spacing w:beforeLines="10" w:afterLines="10" w:line="480" w:lineRule="exact"/>
        <w:ind w:left="840"/>
        <w:outlineLvl w:val="1"/>
        <w:rPr>
          <w:rFonts w:ascii="宋体" w:hAnsi="宋体" w:cs="宋体"/>
          <w:b/>
          <w:kern w:val="0"/>
          <w:szCs w:val="21"/>
        </w:rPr>
      </w:pPr>
      <w:r>
        <w:rPr>
          <w:rFonts w:hint="eastAsia" w:ascii="宋体" w:hAnsi="宋体" w:cs="宋体"/>
          <w:b/>
          <w:kern w:val="0"/>
          <w:szCs w:val="21"/>
        </w:rPr>
        <w:t>六、评标程序和要求</w:t>
      </w:r>
    </w:p>
    <w:p>
      <w:pPr>
        <w:adjustRightInd w:val="0"/>
        <w:snapToGrid w:val="0"/>
        <w:spacing w:line="480" w:lineRule="exact"/>
        <w:ind w:firstLine="476" w:firstLineChars="226"/>
        <w:rPr>
          <w:rFonts w:ascii="宋体" w:hAnsi="宋体" w:cs="宋体"/>
          <w:kern w:val="0"/>
          <w:szCs w:val="21"/>
        </w:rPr>
      </w:pPr>
      <w:r>
        <w:rPr>
          <w:rFonts w:hint="eastAsia" w:ascii="宋体" w:hAnsi="宋体" w:cs="宋体"/>
          <w:b/>
          <w:kern w:val="0"/>
          <w:szCs w:val="21"/>
        </w:rPr>
        <w:t xml:space="preserve">17. </w:t>
      </w:r>
      <w:r>
        <w:rPr>
          <w:rFonts w:hint="eastAsia" w:ascii="宋体" w:hAnsi="宋体" w:cs="宋体"/>
          <w:bCs/>
          <w:kern w:val="0"/>
          <w:szCs w:val="21"/>
        </w:rPr>
        <w:t>组</w:t>
      </w:r>
      <w:r>
        <w:rPr>
          <w:rFonts w:hint="eastAsia" w:ascii="宋体" w:hAnsi="宋体" w:cs="宋体"/>
          <w:kern w:val="0"/>
          <w:szCs w:val="21"/>
        </w:rPr>
        <w:t>建评标委员会</w:t>
      </w:r>
    </w:p>
    <w:p>
      <w:pPr>
        <w:adjustRightInd w:val="0"/>
        <w:snapToGrid w:val="0"/>
        <w:spacing w:line="480" w:lineRule="exact"/>
        <w:ind w:firstLine="474" w:firstLineChars="226"/>
        <w:rPr>
          <w:rFonts w:ascii="宋体" w:hAnsi="宋体" w:cs="宋体"/>
          <w:kern w:val="0"/>
          <w:szCs w:val="21"/>
        </w:rPr>
      </w:pPr>
      <w:r>
        <w:rPr>
          <w:rFonts w:hint="eastAsia" w:ascii="宋体" w:hAnsi="宋体" w:cs="宋体"/>
          <w:kern w:val="0"/>
          <w:szCs w:val="21"/>
        </w:rPr>
        <w:t>17.1 集采机构根据政府采购有关法律法规和本招标文件的规定，结合本招标项目的特点组建评标委员会，评标委员会由五人以上单数组成，其中经济、技术等方面的专家不少于三分之二。</w:t>
      </w:r>
    </w:p>
    <w:p>
      <w:pPr>
        <w:adjustRightInd w:val="0"/>
        <w:snapToGrid w:val="0"/>
        <w:spacing w:line="480" w:lineRule="exact"/>
        <w:ind w:firstLine="474" w:firstLineChars="226"/>
        <w:rPr>
          <w:rFonts w:ascii="宋体" w:hAnsi="宋体" w:cs="宋体"/>
          <w:kern w:val="0"/>
          <w:szCs w:val="21"/>
        </w:rPr>
      </w:pPr>
      <w:r>
        <w:rPr>
          <w:rFonts w:hint="eastAsia" w:ascii="宋体" w:hAnsi="宋体" w:cs="宋体"/>
          <w:kern w:val="0"/>
          <w:szCs w:val="21"/>
        </w:rPr>
        <w:t>17.2 采购人或集采机构就招标文件征询过意见的专家,不得作为评标专家参加评标，采购人不得以专家身份参与评标，集采机构工作人员不得参加评标。</w:t>
      </w:r>
    </w:p>
    <w:p>
      <w:pPr>
        <w:adjustRightInd w:val="0"/>
        <w:snapToGrid w:val="0"/>
        <w:spacing w:line="480" w:lineRule="exact"/>
        <w:ind w:firstLine="476" w:firstLineChars="226"/>
        <w:rPr>
          <w:rFonts w:ascii="宋体" w:hAnsi="宋体" w:cs="宋体"/>
          <w:b/>
          <w:kern w:val="0"/>
          <w:szCs w:val="21"/>
        </w:rPr>
      </w:pPr>
      <w:r>
        <w:rPr>
          <w:rFonts w:hint="eastAsia" w:ascii="宋体" w:hAnsi="宋体" w:cs="宋体"/>
          <w:b/>
          <w:kern w:val="0"/>
          <w:szCs w:val="21"/>
        </w:rPr>
        <w:t>18. 投标文件初审</w:t>
      </w:r>
    </w:p>
    <w:p>
      <w:pPr>
        <w:adjustRightInd w:val="0"/>
        <w:snapToGrid w:val="0"/>
        <w:spacing w:line="480" w:lineRule="exact"/>
        <w:ind w:firstLine="474" w:firstLineChars="226"/>
        <w:rPr>
          <w:rFonts w:ascii="宋体" w:hAnsi="宋体" w:cs="宋体"/>
          <w:kern w:val="0"/>
          <w:szCs w:val="21"/>
        </w:rPr>
      </w:pPr>
      <w:r>
        <w:rPr>
          <w:rFonts w:hint="eastAsia" w:ascii="宋体" w:hAnsi="宋体" w:cs="宋体"/>
          <w:kern w:val="0"/>
          <w:szCs w:val="21"/>
        </w:rPr>
        <w:t>18.1 投标文件初审包括资格性检查和符合性检查。</w:t>
      </w:r>
      <w:r>
        <w:rPr>
          <w:rFonts w:hint="eastAsia" w:ascii="宋体" w:hAnsi="宋体" w:cs="宋体"/>
          <w:kern w:val="0"/>
          <w:szCs w:val="21"/>
          <w:u w:val="single"/>
        </w:rPr>
        <w:t>对投标文件的判定,只依据投标文件内容本身</w:t>
      </w:r>
      <w:r>
        <w:rPr>
          <w:rFonts w:hint="eastAsia" w:ascii="宋体" w:hAnsi="宋体" w:cs="宋体"/>
          <w:kern w:val="0"/>
          <w:szCs w:val="21"/>
        </w:rPr>
        <w:t>。</w:t>
      </w:r>
    </w:p>
    <w:p>
      <w:pPr>
        <w:adjustRightInd w:val="0"/>
        <w:snapToGrid w:val="0"/>
        <w:spacing w:line="480" w:lineRule="exact"/>
        <w:ind w:firstLine="474" w:firstLineChars="226"/>
        <w:rPr>
          <w:rFonts w:ascii="宋体" w:hAnsi="宋体" w:cs="宋体"/>
          <w:kern w:val="0"/>
          <w:szCs w:val="21"/>
        </w:rPr>
      </w:pPr>
      <w:r>
        <w:rPr>
          <w:rFonts w:hint="eastAsia" w:ascii="宋体" w:hAnsi="宋体" w:cs="宋体"/>
          <w:kern w:val="0"/>
          <w:szCs w:val="21"/>
        </w:rPr>
        <w:t>18.2 资格性检查：由采购人和集采机构依据法律法规和招标文件的规定，对各</w:t>
      </w:r>
      <w:r>
        <w:rPr>
          <w:rFonts w:hint="eastAsia" w:ascii="宋体" w:hAnsi="宋体" w:cs="宋体"/>
          <w:kern w:val="0"/>
          <w:szCs w:val="21"/>
          <w:lang w:eastAsia="zh-CN"/>
        </w:rPr>
        <w:t>投标人</w:t>
      </w:r>
      <w:r>
        <w:rPr>
          <w:rFonts w:hint="eastAsia" w:ascii="宋体" w:hAnsi="宋体" w:cs="宋体"/>
          <w:kern w:val="0"/>
          <w:szCs w:val="21"/>
        </w:rPr>
        <w:t>投标文件中的资格证明、投标保证金等进行审查，以确定</w:t>
      </w:r>
      <w:r>
        <w:rPr>
          <w:rFonts w:hint="eastAsia" w:ascii="宋体" w:hAnsi="宋体" w:cs="宋体"/>
          <w:kern w:val="0"/>
          <w:szCs w:val="21"/>
          <w:lang w:eastAsia="zh-CN"/>
        </w:rPr>
        <w:t>投标人</w:t>
      </w:r>
      <w:r>
        <w:rPr>
          <w:rFonts w:hint="eastAsia" w:ascii="宋体" w:hAnsi="宋体" w:cs="宋体"/>
          <w:kern w:val="0"/>
          <w:szCs w:val="21"/>
        </w:rPr>
        <w:t>是否具备投标资格。</w:t>
      </w:r>
      <w:r>
        <w:rPr>
          <w:rFonts w:hint="eastAsia" w:ascii="宋体" w:hAnsi="宋体" w:cs="宋体"/>
          <w:kern w:val="0"/>
          <w:szCs w:val="21"/>
          <w:u w:val="single"/>
        </w:rPr>
        <w:t>经审查如果</w:t>
      </w:r>
      <w:r>
        <w:rPr>
          <w:rFonts w:hint="eastAsia" w:ascii="宋体" w:hAnsi="宋体" w:cs="宋体"/>
          <w:kern w:val="0"/>
          <w:szCs w:val="21"/>
          <w:u w:val="single"/>
          <w:lang w:eastAsia="zh-CN"/>
        </w:rPr>
        <w:t>投标人</w:t>
      </w:r>
      <w:r>
        <w:rPr>
          <w:rFonts w:hint="eastAsia" w:ascii="宋体" w:hAnsi="宋体" w:cs="宋体"/>
          <w:kern w:val="0"/>
          <w:szCs w:val="21"/>
          <w:u w:val="single"/>
        </w:rPr>
        <w:t>投标文件中资格不符合招标文件要求的资格条件的，</w:t>
      </w:r>
      <w:r>
        <w:rPr>
          <w:rFonts w:hint="eastAsia" w:ascii="宋体" w:hAnsi="宋体" w:cs="宋体"/>
          <w:kern w:val="0"/>
          <w:szCs w:val="21"/>
        </w:rPr>
        <w:t>采购人和集采机构</w:t>
      </w:r>
      <w:r>
        <w:rPr>
          <w:rFonts w:hint="eastAsia" w:ascii="宋体" w:hAnsi="宋体" w:cs="宋体"/>
          <w:kern w:val="0"/>
          <w:szCs w:val="21"/>
          <w:u w:val="single"/>
        </w:rPr>
        <w:t>将作无效投标处理</w:t>
      </w:r>
      <w:r>
        <w:rPr>
          <w:rFonts w:hint="eastAsia" w:ascii="宋体" w:hAnsi="宋体" w:cs="宋体"/>
          <w:kern w:val="0"/>
          <w:szCs w:val="21"/>
        </w:rPr>
        <w:t>。合格投标人不足3家的，本项目作废标处理。</w:t>
      </w:r>
    </w:p>
    <w:p>
      <w:pPr>
        <w:adjustRightInd w:val="0"/>
        <w:snapToGrid w:val="0"/>
        <w:spacing w:line="480" w:lineRule="exact"/>
        <w:ind w:firstLine="474" w:firstLineChars="226"/>
        <w:rPr>
          <w:rFonts w:ascii="宋体" w:hAnsi="宋体" w:cs="宋体"/>
          <w:kern w:val="0"/>
          <w:szCs w:val="21"/>
        </w:rPr>
      </w:pPr>
      <w:r>
        <w:rPr>
          <w:rFonts w:hint="eastAsia" w:ascii="宋体" w:hAnsi="宋体" w:cs="宋体"/>
          <w:kern w:val="0"/>
          <w:szCs w:val="21"/>
        </w:rPr>
        <w:t>18.3 符合性检查：由评标委员会依据招标文件的规定，从投标文件的有效性、完整性和对招标文件的响应程度进行审查，</w:t>
      </w:r>
      <w:r>
        <w:rPr>
          <w:rFonts w:hint="eastAsia" w:ascii="宋体" w:hAnsi="宋体" w:cs="宋体"/>
          <w:kern w:val="0"/>
          <w:szCs w:val="21"/>
          <w:u w:val="single"/>
        </w:rPr>
        <w:t>以确定是否对招标文件的要求作出明确响应</w:t>
      </w:r>
      <w:r>
        <w:rPr>
          <w:rFonts w:hint="eastAsia" w:ascii="宋体" w:hAnsi="宋体" w:cs="宋体"/>
          <w:kern w:val="0"/>
          <w:szCs w:val="21"/>
        </w:rPr>
        <w:t>。合格投标人不足3家的，本项目作废标处理。</w:t>
      </w:r>
    </w:p>
    <w:p>
      <w:pPr>
        <w:adjustRightInd w:val="0"/>
        <w:snapToGrid w:val="0"/>
        <w:spacing w:line="480" w:lineRule="exact"/>
        <w:rPr>
          <w:rFonts w:ascii="宋体" w:hAnsi="宋体" w:cs="宋体"/>
          <w:kern w:val="0"/>
          <w:szCs w:val="21"/>
        </w:rPr>
      </w:pPr>
      <w:r>
        <w:rPr>
          <w:rFonts w:hint="eastAsia" w:ascii="宋体" w:hAnsi="宋体" w:cs="宋体"/>
          <w:kern w:val="0"/>
          <w:szCs w:val="21"/>
        </w:rPr>
        <w:t xml:space="preserve">    18.4</w:t>
      </w:r>
      <w:r>
        <w:rPr>
          <w:rFonts w:hint="eastAsia" w:ascii="宋体" w:hAnsi="宋体" w:cs="宋体"/>
          <w:kern w:val="0"/>
          <w:szCs w:val="21"/>
          <w:u w:val="single"/>
        </w:rPr>
        <w:t>明确响应的投标是指与招标文件的主要条款、条件和规格相符，没有重大偏离或保留</w:t>
      </w:r>
      <w:r>
        <w:rPr>
          <w:rFonts w:hint="eastAsia" w:ascii="宋体" w:hAnsi="宋体" w:cs="宋体"/>
          <w:kern w:val="0"/>
          <w:szCs w:val="21"/>
        </w:rPr>
        <w:t>。</w:t>
      </w:r>
    </w:p>
    <w:p>
      <w:pPr>
        <w:snapToGrid w:val="0"/>
        <w:spacing w:line="480" w:lineRule="exact"/>
        <w:ind w:left="2"/>
        <w:rPr>
          <w:rFonts w:ascii="宋体" w:hAnsi="宋体" w:cs="宋体"/>
          <w:kern w:val="0"/>
          <w:szCs w:val="21"/>
        </w:rPr>
      </w:pPr>
      <w:r>
        <w:rPr>
          <w:rFonts w:hint="eastAsia" w:ascii="宋体" w:hAnsi="宋体" w:cs="宋体"/>
          <w:kern w:val="0"/>
          <w:szCs w:val="21"/>
        </w:rPr>
        <w:t xml:space="preserve">    18.4.1 </w:t>
      </w:r>
      <w:r>
        <w:rPr>
          <w:rFonts w:hint="eastAsia" w:ascii="宋体" w:hAnsi="宋体" w:cs="宋体"/>
          <w:kern w:val="0"/>
          <w:szCs w:val="21"/>
          <w:u w:val="single"/>
        </w:rPr>
        <w:t>重大偏离或保留系指</w:t>
      </w:r>
      <w:r>
        <w:rPr>
          <w:rFonts w:hint="eastAsia" w:ascii="宋体" w:hAnsi="宋体" w:cs="宋体"/>
          <w:kern w:val="0"/>
          <w:szCs w:val="21"/>
        </w:rPr>
        <w:t>投标货物的质量、数量和交货期限等明显不能满足招标文件的要求，或者实质上与招标文件不一致，而且限制了采购人的权利或投标人的义务，</w:t>
      </w:r>
      <w:r>
        <w:rPr>
          <w:rFonts w:hint="eastAsia" w:ascii="宋体" w:hAnsi="宋体" w:cs="宋体"/>
          <w:kern w:val="0"/>
          <w:szCs w:val="21"/>
          <w:u w:val="single"/>
        </w:rPr>
        <w:t>纠正这些偏离或保留将对其他明确响应要求的投标人的竞争地位产生不公正的影响。包括但不限于</w:t>
      </w:r>
      <w:r>
        <w:rPr>
          <w:rFonts w:hint="eastAsia" w:ascii="宋体" w:hAnsi="宋体" w:cs="宋体"/>
          <w:kern w:val="0"/>
          <w:szCs w:val="21"/>
        </w:rPr>
        <w:t>：</w:t>
      </w:r>
    </w:p>
    <w:p>
      <w:pPr>
        <w:numPr>
          <w:ilvl w:val="0"/>
          <w:numId w:val="5"/>
        </w:numPr>
        <w:adjustRightInd w:val="0"/>
        <w:snapToGrid w:val="0"/>
        <w:spacing w:line="480" w:lineRule="exact"/>
        <w:ind w:left="2" w:firstLine="459" w:firstLineChars="219"/>
        <w:rPr>
          <w:rFonts w:ascii="宋体" w:hAnsi="宋体" w:cs="宋体"/>
          <w:kern w:val="0"/>
          <w:szCs w:val="21"/>
        </w:rPr>
      </w:pPr>
      <w:r>
        <w:rPr>
          <w:rFonts w:hint="eastAsia" w:ascii="宋体" w:hAnsi="宋体" w:cs="宋体"/>
          <w:kern w:val="0"/>
          <w:szCs w:val="21"/>
        </w:rPr>
        <w:t>应当交纳投标保证金的投标人投标保证金金额不足的；</w:t>
      </w:r>
    </w:p>
    <w:p>
      <w:pPr>
        <w:numPr>
          <w:ilvl w:val="0"/>
          <w:numId w:val="5"/>
        </w:numPr>
        <w:adjustRightInd w:val="0"/>
        <w:snapToGrid w:val="0"/>
        <w:spacing w:line="480" w:lineRule="exact"/>
        <w:ind w:left="2" w:firstLine="459" w:firstLineChars="219"/>
        <w:rPr>
          <w:rFonts w:ascii="宋体" w:hAnsi="宋体" w:cs="宋体"/>
          <w:kern w:val="0"/>
          <w:szCs w:val="21"/>
        </w:rPr>
      </w:pPr>
      <w:r>
        <w:rPr>
          <w:rFonts w:hint="eastAsia" w:ascii="宋体" w:hAnsi="宋体" w:cs="宋体"/>
          <w:kern w:val="0"/>
          <w:szCs w:val="21"/>
        </w:rPr>
        <w:t>本文件“投标人须知前附表”中，带★部分的资格证明文件不全或无效的；</w:t>
      </w:r>
    </w:p>
    <w:p>
      <w:pPr>
        <w:numPr>
          <w:ilvl w:val="0"/>
          <w:numId w:val="5"/>
        </w:numPr>
        <w:adjustRightInd w:val="0"/>
        <w:snapToGrid w:val="0"/>
        <w:spacing w:line="480" w:lineRule="exact"/>
        <w:ind w:left="2" w:firstLine="459" w:firstLineChars="219"/>
        <w:rPr>
          <w:rFonts w:ascii="宋体" w:hAnsi="宋体" w:cs="宋体"/>
          <w:kern w:val="0"/>
          <w:szCs w:val="21"/>
        </w:rPr>
      </w:pPr>
      <w:r>
        <w:rPr>
          <w:rFonts w:hint="eastAsia" w:ascii="宋体" w:hAnsi="宋体" w:cs="宋体"/>
          <w:kern w:val="0"/>
          <w:szCs w:val="21"/>
        </w:rPr>
        <w:t>投标文件未按招标文件的规定签署、盖章的；</w:t>
      </w:r>
    </w:p>
    <w:p>
      <w:pPr>
        <w:numPr>
          <w:ilvl w:val="0"/>
          <w:numId w:val="5"/>
        </w:numPr>
        <w:adjustRightInd w:val="0"/>
        <w:snapToGrid w:val="0"/>
        <w:spacing w:line="480" w:lineRule="exact"/>
        <w:ind w:left="2" w:firstLine="459" w:firstLineChars="219"/>
        <w:rPr>
          <w:rFonts w:ascii="宋体" w:hAnsi="宋体" w:cs="宋体"/>
          <w:kern w:val="0"/>
          <w:szCs w:val="21"/>
        </w:rPr>
      </w:pPr>
      <w:r>
        <w:rPr>
          <w:rFonts w:hint="eastAsia" w:ascii="宋体" w:hAnsi="宋体" w:cs="宋体"/>
          <w:kern w:val="0"/>
          <w:szCs w:val="21"/>
        </w:rPr>
        <w:t>投标有效期不足的；</w:t>
      </w:r>
    </w:p>
    <w:p>
      <w:pPr>
        <w:numPr>
          <w:ilvl w:val="0"/>
          <w:numId w:val="5"/>
        </w:numPr>
        <w:adjustRightInd w:val="0"/>
        <w:snapToGrid w:val="0"/>
        <w:spacing w:line="480" w:lineRule="exact"/>
        <w:ind w:left="2" w:firstLine="459" w:firstLineChars="219"/>
        <w:rPr>
          <w:rFonts w:ascii="宋体" w:hAnsi="宋体" w:cs="宋体"/>
          <w:kern w:val="0"/>
          <w:szCs w:val="21"/>
        </w:rPr>
      </w:pPr>
      <w:r>
        <w:rPr>
          <w:rFonts w:hint="eastAsia" w:ascii="宋体" w:hAnsi="宋体" w:cs="宋体"/>
          <w:kern w:val="0"/>
          <w:szCs w:val="21"/>
        </w:rPr>
        <w:t>投标货物性能、规格、数量、交货时间、货物包装方式、检验标准和方法、售后服务承诺等不满足招标文件中的相关要求和超出本招标文件可接受的偏差范围的；</w:t>
      </w:r>
    </w:p>
    <w:p>
      <w:pPr>
        <w:numPr>
          <w:ilvl w:val="0"/>
          <w:numId w:val="5"/>
        </w:numPr>
        <w:adjustRightInd w:val="0"/>
        <w:snapToGrid w:val="0"/>
        <w:spacing w:line="480" w:lineRule="exact"/>
        <w:ind w:left="2" w:firstLine="459" w:firstLineChars="219"/>
        <w:rPr>
          <w:rFonts w:ascii="宋体" w:hAnsi="宋体" w:cs="宋体"/>
          <w:kern w:val="0"/>
          <w:szCs w:val="21"/>
        </w:rPr>
      </w:pPr>
      <w:r>
        <w:rPr>
          <w:rFonts w:hint="eastAsia" w:ascii="宋体" w:hAnsi="宋体" w:cs="宋体"/>
          <w:kern w:val="0"/>
          <w:szCs w:val="21"/>
        </w:rPr>
        <w:t>未按照招标文件规定报价的；</w:t>
      </w:r>
    </w:p>
    <w:p>
      <w:pPr>
        <w:numPr>
          <w:ilvl w:val="0"/>
          <w:numId w:val="5"/>
        </w:numPr>
        <w:adjustRightInd w:val="0"/>
        <w:snapToGrid w:val="0"/>
        <w:spacing w:line="480" w:lineRule="exact"/>
        <w:ind w:left="2" w:firstLine="459" w:firstLineChars="219"/>
        <w:rPr>
          <w:rFonts w:ascii="宋体" w:hAnsi="宋体" w:cs="宋体"/>
          <w:kern w:val="0"/>
          <w:szCs w:val="21"/>
        </w:rPr>
      </w:pPr>
      <w:r>
        <w:rPr>
          <w:rFonts w:hint="eastAsia" w:ascii="宋体" w:hAnsi="宋体" w:cs="宋体"/>
          <w:kern w:val="0"/>
          <w:szCs w:val="21"/>
        </w:rPr>
        <w:t>不符合招标文件中有关分包规定的；</w:t>
      </w:r>
    </w:p>
    <w:p>
      <w:pPr>
        <w:numPr>
          <w:ilvl w:val="0"/>
          <w:numId w:val="5"/>
        </w:numPr>
        <w:adjustRightInd w:val="0"/>
        <w:snapToGrid w:val="0"/>
        <w:spacing w:line="480" w:lineRule="exact"/>
        <w:ind w:left="2" w:firstLine="459" w:firstLineChars="219"/>
        <w:rPr>
          <w:rFonts w:ascii="宋体" w:hAnsi="宋体" w:cs="宋体"/>
          <w:kern w:val="0"/>
          <w:szCs w:val="21"/>
        </w:rPr>
      </w:pPr>
      <w:r>
        <w:rPr>
          <w:rFonts w:hint="eastAsia" w:ascii="宋体" w:hAnsi="宋体" w:cs="宋体"/>
          <w:kern w:val="0"/>
          <w:szCs w:val="21"/>
        </w:rPr>
        <w:t>联合体投标文件未附联合体投标协议书的；</w:t>
      </w:r>
    </w:p>
    <w:p>
      <w:pPr>
        <w:numPr>
          <w:ilvl w:val="0"/>
          <w:numId w:val="5"/>
        </w:numPr>
        <w:adjustRightInd w:val="0"/>
        <w:snapToGrid w:val="0"/>
        <w:spacing w:line="480" w:lineRule="exact"/>
        <w:ind w:left="2" w:firstLine="459" w:firstLineChars="219"/>
        <w:rPr>
          <w:rFonts w:ascii="宋体" w:hAnsi="宋体" w:cs="宋体"/>
          <w:kern w:val="0"/>
          <w:szCs w:val="21"/>
        </w:rPr>
      </w:pPr>
      <w:r>
        <w:rPr>
          <w:rFonts w:hint="eastAsia" w:ascii="宋体" w:hAnsi="宋体" w:cs="宋体"/>
          <w:kern w:val="0"/>
          <w:szCs w:val="21"/>
        </w:rPr>
        <w:t>投标文件附有本招标文件不能接受的条件；</w:t>
      </w:r>
    </w:p>
    <w:p>
      <w:pPr>
        <w:numPr>
          <w:ilvl w:val="0"/>
          <w:numId w:val="5"/>
        </w:numPr>
        <w:adjustRightInd w:val="0"/>
        <w:snapToGrid w:val="0"/>
        <w:spacing w:line="480" w:lineRule="exact"/>
        <w:ind w:left="2" w:firstLine="459" w:firstLineChars="219"/>
        <w:rPr>
          <w:rFonts w:ascii="宋体" w:hAnsi="宋体" w:cs="宋体"/>
          <w:kern w:val="0"/>
          <w:szCs w:val="21"/>
        </w:rPr>
      </w:pPr>
      <w:r>
        <w:rPr>
          <w:rFonts w:hint="eastAsia" w:ascii="宋体" w:hAnsi="宋体" w:cs="宋体"/>
          <w:kern w:val="0"/>
          <w:szCs w:val="21"/>
        </w:rPr>
        <w:t>不符合招标文件中规定的其他明确要求。</w:t>
      </w:r>
    </w:p>
    <w:p>
      <w:pPr>
        <w:snapToGrid w:val="0"/>
        <w:spacing w:line="480" w:lineRule="exact"/>
        <w:rPr>
          <w:rFonts w:ascii="宋体" w:hAnsi="宋体" w:cs="宋体"/>
          <w:kern w:val="0"/>
          <w:szCs w:val="21"/>
        </w:rPr>
      </w:pPr>
      <w:r>
        <w:rPr>
          <w:rFonts w:hint="eastAsia" w:ascii="宋体" w:hAnsi="宋体" w:cs="宋体"/>
          <w:kern w:val="0"/>
          <w:szCs w:val="21"/>
        </w:rPr>
        <w:t xml:space="preserve">    18.4.2 </w:t>
      </w:r>
      <w:r>
        <w:rPr>
          <w:rFonts w:hint="eastAsia" w:ascii="宋体" w:hAnsi="宋体" w:cs="宋体"/>
          <w:kern w:val="0"/>
          <w:szCs w:val="21"/>
          <w:u w:val="single"/>
        </w:rPr>
        <w:t>重大偏离不允许在开标后修正</w:t>
      </w:r>
      <w:r>
        <w:rPr>
          <w:rFonts w:hint="eastAsia" w:ascii="宋体" w:hAnsi="宋体" w:cs="宋体"/>
          <w:kern w:val="0"/>
          <w:szCs w:val="21"/>
        </w:rPr>
        <w:t>，但评标委员会将允许修正投标中不构成重大偏离的地方，这些修正不会对其他明确响应招标文件要求的投标人的竞争地位产生不公正的影响。</w:t>
      </w:r>
    </w:p>
    <w:p>
      <w:pPr>
        <w:snapToGrid w:val="0"/>
        <w:spacing w:line="480" w:lineRule="exact"/>
        <w:rPr>
          <w:rFonts w:ascii="宋体" w:hAnsi="宋体" w:cs="宋体"/>
          <w:kern w:val="0"/>
          <w:szCs w:val="21"/>
        </w:rPr>
      </w:pPr>
      <w:r>
        <w:rPr>
          <w:rFonts w:hint="eastAsia" w:ascii="宋体" w:hAnsi="宋体" w:cs="宋体"/>
          <w:kern w:val="0"/>
          <w:szCs w:val="21"/>
        </w:rPr>
        <w:t xml:space="preserve">    18.4.3 </w:t>
      </w:r>
      <w:r>
        <w:rPr>
          <w:rFonts w:hint="eastAsia" w:ascii="宋体" w:hAnsi="宋体" w:cs="宋体"/>
          <w:kern w:val="0"/>
          <w:szCs w:val="21"/>
          <w:u w:val="single"/>
        </w:rPr>
        <w:t>如果投标文件没有明确响应招标文件的要求，评标委员会将作无效投标处理</w:t>
      </w:r>
      <w:r>
        <w:rPr>
          <w:rFonts w:hint="eastAsia" w:ascii="宋体" w:hAnsi="宋体" w:cs="宋体"/>
          <w:kern w:val="0"/>
          <w:szCs w:val="21"/>
        </w:rPr>
        <w:t>，投标人不得再对投标文件进行任何修正从而使其投标成为明确响应的投标。</w:t>
      </w:r>
    </w:p>
    <w:p>
      <w:pPr>
        <w:adjustRightInd w:val="0"/>
        <w:snapToGrid w:val="0"/>
        <w:spacing w:line="480" w:lineRule="exact"/>
        <w:ind w:left="2"/>
        <w:rPr>
          <w:rFonts w:ascii="宋体" w:hAnsi="宋体" w:cs="宋体"/>
          <w:kern w:val="0"/>
          <w:szCs w:val="21"/>
        </w:rPr>
      </w:pPr>
      <w:r>
        <w:rPr>
          <w:rFonts w:hint="eastAsia" w:ascii="宋体" w:hAnsi="宋体" w:cs="宋体"/>
          <w:kern w:val="0"/>
          <w:szCs w:val="21"/>
        </w:rPr>
        <w:t xml:space="preserve">    18.4.4 投标文件的细微偏差是指在明确响应招标文件要求，但在个别地方存在漏项或者提供了不完整的技术信息和数据等情况，并且补正这些遗漏或者不完整不会对其他投标人造成不公平的结果。</w:t>
      </w:r>
      <w:r>
        <w:rPr>
          <w:rFonts w:hint="eastAsia" w:ascii="宋体" w:hAnsi="宋体" w:cs="宋体"/>
          <w:kern w:val="0"/>
          <w:szCs w:val="21"/>
          <w:u w:val="single"/>
        </w:rPr>
        <w:t>细微偏差不影响投标文件的有效性</w:t>
      </w:r>
      <w:r>
        <w:rPr>
          <w:rFonts w:hint="eastAsia" w:ascii="宋体" w:hAnsi="宋体" w:cs="宋体"/>
          <w:kern w:val="0"/>
          <w:szCs w:val="21"/>
        </w:rPr>
        <w:t>。</w:t>
      </w:r>
    </w:p>
    <w:p>
      <w:pPr>
        <w:adjustRightInd w:val="0"/>
        <w:snapToGrid w:val="0"/>
        <w:spacing w:line="480" w:lineRule="exact"/>
        <w:rPr>
          <w:rFonts w:ascii="宋体" w:hAnsi="宋体" w:cs="宋体"/>
          <w:kern w:val="0"/>
          <w:szCs w:val="21"/>
        </w:rPr>
      </w:pPr>
      <w:r>
        <w:rPr>
          <w:rFonts w:hint="eastAsia" w:ascii="宋体" w:hAnsi="宋体" w:cs="宋体"/>
          <w:kern w:val="0"/>
          <w:szCs w:val="21"/>
        </w:rPr>
        <w:t xml:space="preserve">    18.5 审查中，对明显的文字和计算错误按下述原则处理：</w:t>
      </w:r>
    </w:p>
    <w:p>
      <w:pPr>
        <w:widowControl/>
        <w:shd w:val="clear" w:color="auto" w:fill="FFFFFF"/>
        <w:spacing w:before="100" w:after="100" w:line="468" w:lineRule="exact"/>
        <w:ind w:left="420" w:leftChars="200" w:firstLine="105" w:firstLineChars="50"/>
        <w:rPr>
          <w:rFonts w:ascii="宋体" w:hAnsi="宋体" w:cs="宋体"/>
          <w:color w:val="3E3E3E"/>
          <w:kern w:val="0"/>
          <w:szCs w:val="21"/>
        </w:rPr>
      </w:pPr>
      <w:r>
        <w:rPr>
          <w:rFonts w:hint="eastAsia" w:ascii="宋体" w:hAnsi="宋体" w:cs="宋体"/>
          <w:kern w:val="0"/>
          <w:szCs w:val="21"/>
        </w:rPr>
        <w:t xml:space="preserve">18.5.1 </w:t>
      </w:r>
      <w:r>
        <w:rPr>
          <w:rFonts w:hint="eastAsia" w:ascii="宋体" w:hAnsi="宋体" w:cs="宋体"/>
          <w:color w:val="000000"/>
          <w:kern w:val="0"/>
          <w:szCs w:val="21"/>
          <w:shd w:val="clear" w:color="auto" w:fill="FFFFFF"/>
        </w:rPr>
        <w:t>对于投标文件中含义不明确、同类问题表述不一致或者有明显文字和计算错误的内容，评标委员会应当以书面形式要求投标人作出必要的澄清、说明或者补正。</w:t>
      </w:r>
    </w:p>
    <w:p>
      <w:pPr>
        <w:widowControl/>
        <w:shd w:val="clear" w:color="auto" w:fill="FFFFFF"/>
        <w:spacing w:before="100" w:after="100" w:line="468" w:lineRule="exact"/>
        <w:ind w:left="420"/>
        <w:rPr>
          <w:rFonts w:ascii="宋体" w:hAnsi="宋体" w:cs="宋体"/>
          <w:kern w:val="0"/>
          <w:szCs w:val="21"/>
        </w:rPr>
      </w:pPr>
      <w:r>
        <w:rPr>
          <w:rFonts w:hint="eastAsia" w:ascii="宋体" w:hAnsi="宋体" w:cs="宋体"/>
          <w:color w:val="000000"/>
          <w:kern w:val="0"/>
          <w:szCs w:val="21"/>
          <w:shd w:val="clear" w:color="auto" w:fill="FFFFFF"/>
        </w:rPr>
        <w:t>投标人的澄清、说明或者补正应当采用书面形式，并加盖公章，或者由法定代表人或其授权的代表签字。投标人的澄清、说明或者补正不得超出投标文件的范围或者改变投标文件的实质性内容。</w:t>
      </w:r>
    </w:p>
    <w:p>
      <w:pPr>
        <w:widowControl/>
        <w:shd w:val="clear" w:color="auto" w:fill="FFFFFF"/>
        <w:spacing w:before="100" w:after="100" w:line="468" w:lineRule="exact"/>
        <w:ind w:firstLine="525" w:firstLineChars="250"/>
        <w:rPr>
          <w:rFonts w:ascii="宋体" w:hAnsi="宋体" w:cs="宋体"/>
          <w:color w:val="3E3E3E"/>
          <w:kern w:val="0"/>
          <w:szCs w:val="21"/>
        </w:rPr>
      </w:pPr>
      <w:r>
        <w:rPr>
          <w:rFonts w:hint="eastAsia" w:ascii="宋体" w:hAnsi="宋体" w:cs="宋体"/>
          <w:kern w:val="0"/>
          <w:szCs w:val="21"/>
        </w:rPr>
        <w:t>18.5.2</w:t>
      </w:r>
      <w:r>
        <w:rPr>
          <w:rFonts w:hint="eastAsia" w:ascii="宋体" w:hAnsi="宋体" w:cs="宋体"/>
          <w:color w:val="000000"/>
          <w:kern w:val="0"/>
          <w:szCs w:val="21"/>
          <w:shd w:val="clear" w:color="auto" w:fill="FFFFFF"/>
        </w:rPr>
        <w:t>投标文件报价出现前后不一致的，除招标文件另有规定外，按照下列规定修正：</w:t>
      </w:r>
    </w:p>
    <w:p>
      <w:pPr>
        <w:widowControl/>
        <w:shd w:val="clear" w:color="auto" w:fill="FFFFFF"/>
        <w:spacing w:before="100" w:after="100" w:line="468" w:lineRule="exact"/>
        <w:ind w:firstLine="420" w:firstLineChars="200"/>
        <w:rPr>
          <w:rFonts w:ascii="宋体" w:hAnsi="宋体" w:cs="宋体"/>
          <w:color w:val="3E3E3E"/>
          <w:kern w:val="0"/>
          <w:szCs w:val="21"/>
        </w:rPr>
      </w:pPr>
      <w:r>
        <w:rPr>
          <w:rFonts w:hint="eastAsia" w:ascii="宋体" w:hAnsi="宋体" w:cs="宋体"/>
          <w:color w:val="000000"/>
          <w:kern w:val="0"/>
          <w:szCs w:val="21"/>
          <w:shd w:val="clear" w:color="auto" w:fill="FFFFFF"/>
        </w:rPr>
        <w:t>A</w:t>
      </w:r>
      <w:r>
        <w:rPr>
          <w:rFonts w:hint="eastAsia" w:ascii="宋体" w:hAnsi="宋体" w:cs="宋体"/>
          <w:color w:val="000000"/>
          <w:kern w:val="0"/>
          <w:szCs w:val="21"/>
          <w:shd w:val="clear" w:color="auto" w:fill="FFFFFF"/>
          <w:lang w:eastAsia="zh-CN"/>
        </w:rPr>
        <w:t>、</w:t>
      </w:r>
      <w:r>
        <w:rPr>
          <w:rFonts w:hint="eastAsia" w:ascii="宋体" w:hAnsi="宋体" w:cs="宋体"/>
          <w:color w:val="000000"/>
          <w:kern w:val="0"/>
          <w:szCs w:val="21"/>
          <w:shd w:val="clear" w:color="auto" w:fill="FFFFFF"/>
        </w:rPr>
        <w:t>投标文件中开标一览表（报价表）内容与投标文件中相应内容不一致的，以开标一览表（报价表）为准；</w:t>
      </w:r>
    </w:p>
    <w:p>
      <w:pPr>
        <w:widowControl/>
        <w:shd w:val="clear" w:color="auto" w:fill="FFFFFF"/>
        <w:spacing w:before="100" w:after="100" w:line="468" w:lineRule="exact"/>
        <w:ind w:firstLine="420" w:firstLineChars="200"/>
        <w:rPr>
          <w:rFonts w:ascii="宋体" w:hAnsi="宋体" w:cs="宋体"/>
          <w:color w:val="3E3E3E"/>
          <w:kern w:val="0"/>
          <w:szCs w:val="21"/>
        </w:rPr>
      </w:pPr>
      <w:r>
        <w:rPr>
          <w:rFonts w:hint="eastAsia" w:ascii="宋体" w:hAnsi="宋体" w:cs="宋体"/>
          <w:color w:val="000000"/>
          <w:kern w:val="0"/>
          <w:szCs w:val="21"/>
          <w:shd w:val="clear" w:color="auto" w:fill="FFFFFF"/>
        </w:rPr>
        <w:t>B</w:t>
      </w:r>
      <w:r>
        <w:rPr>
          <w:rFonts w:hint="eastAsia" w:ascii="宋体" w:hAnsi="宋体" w:cs="宋体"/>
          <w:color w:val="000000"/>
          <w:kern w:val="0"/>
          <w:szCs w:val="21"/>
          <w:shd w:val="clear" w:color="auto" w:fill="FFFFFF"/>
          <w:lang w:eastAsia="zh-CN"/>
        </w:rPr>
        <w:t>、</w:t>
      </w:r>
      <w:r>
        <w:rPr>
          <w:rFonts w:hint="eastAsia" w:ascii="宋体" w:hAnsi="宋体" w:cs="宋体"/>
          <w:color w:val="000000"/>
          <w:kern w:val="0"/>
          <w:szCs w:val="21"/>
          <w:shd w:val="clear" w:color="auto" w:fill="FFFFFF"/>
        </w:rPr>
        <w:t>大写金额和小写金额不一致的，以大写金额为准；</w:t>
      </w:r>
    </w:p>
    <w:p>
      <w:pPr>
        <w:widowControl/>
        <w:shd w:val="clear" w:color="auto" w:fill="FFFFFF"/>
        <w:spacing w:before="100" w:after="100" w:line="468" w:lineRule="exact"/>
        <w:ind w:firstLine="420" w:firstLineChars="200"/>
        <w:rPr>
          <w:rFonts w:ascii="宋体" w:hAnsi="宋体" w:cs="宋体"/>
          <w:color w:val="3E3E3E"/>
          <w:kern w:val="0"/>
          <w:szCs w:val="21"/>
        </w:rPr>
      </w:pPr>
      <w:r>
        <w:rPr>
          <w:rFonts w:hint="eastAsia" w:ascii="宋体" w:hAnsi="宋体" w:cs="宋体"/>
          <w:color w:val="000000"/>
          <w:kern w:val="0"/>
          <w:szCs w:val="21"/>
          <w:shd w:val="clear" w:color="auto" w:fill="FFFFFF"/>
        </w:rPr>
        <w:t>C</w:t>
      </w:r>
      <w:r>
        <w:rPr>
          <w:rFonts w:hint="eastAsia" w:ascii="宋体" w:hAnsi="宋体" w:cs="宋体"/>
          <w:color w:val="000000"/>
          <w:kern w:val="0"/>
          <w:szCs w:val="21"/>
          <w:shd w:val="clear" w:color="auto" w:fill="FFFFFF"/>
          <w:lang w:eastAsia="zh-CN"/>
        </w:rPr>
        <w:t>、</w:t>
      </w:r>
      <w:r>
        <w:rPr>
          <w:rFonts w:hint="eastAsia" w:ascii="宋体" w:hAnsi="宋体" w:cs="宋体"/>
          <w:color w:val="000000"/>
          <w:kern w:val="0"/>
          <w:szCs w:val="21"/>
          <w:shd w:val="clear" w:color="auto" w:fill="FFFFFF"/>
        </w:rPr>
        <w:t>单价金额小数点或者百分比有明显错位的，以开标一览表的总价为准，并修改单价；</w:t>
      </w:r>
    </w:p>
    <w:p>
      <w:pPr>
        <w:widowControl/>
        <w:shd w:val="clear" w:color="auto" w:fill="FFFFFF"/>
        <w:spacing w:before="100" w:after="100" w:line="468" w:lineRule="exact"/>
        <w:ind w:firstLine="420" w:firstLineChars="200"/>
        <w:rPr>
          <w:rFonts w:ascii="宋体" w:hAnsi="宋体" w:cs="宋体"/>
          <w:color w:val="3E3E3E"/>
          <w:kern w:val="0"/>
          <w:szCs w:val="21"/>
        </w:rPr>
      </w:pPr>
      <w:r>
        <w:rPr>
          <w:rFonts w:hint="eastAsia" w:ascii="宋体" w:hAnsi="宋体" w:cs="宋体"/>
          <w:color w:val="000000"/>
          <w:kern w:val="0"/>
          <w:szCs w:val="21"/>
          <w:shd w:val="clear" w:color="auto" w:fill="FFFFFF"/>
        </w:rPr>
        <w:t>D</w:t>
      </w:r>
      <w:r>
        <w:rPr>
          <w:rFonts w:hint="eastAsia" w:ascii="宋体" w:hAnsi="宋体" w:cs="宋体"/>
          <w:color w:val="000000"/>
          <w:kern w:val="0"/>
          <w:szCs w:val="21"/>
          <w:shd w:val="clear" w:color="auto" w:fill="FFFFFF"/>
          <w:lang w:eastAsia="zh-CN"/>
        </w:rPr>
        <w:t>、</w:t>
      </w:r>
      <w:r>
        <w:rPr>
          <w:rFonts w:hint="eastAsia" w:ascii="宋体" w:hAnsi="宋体" w:cs="宋体"/>
          <w:color w:val="000000"/>
          <w:kern w:val="0"/>
          <w:szCs w:val="21"/>
          <w:shd w:val="clear" w:color="auto" w:fill="FFFFFF"/>
        </w:rPr>
        <w:t>总价金额与按单价汇总金额不一致的，以单价金额计算结果为准。</w:t>
      </w:r>
    </w:p>
    <w:p>
      <w:pPr>
        <w:widowControl/>
        <w:shd w:val="clear" w:color="auto" w:fill="FFFFFF"/>
        <w:spacing w:before="100" w:after="100" w:line="468" w:lineRule="exact"/>
        <w:ind w:left="420"/>
        <w:rPr>
          <w:rFonts w:ascii="宋体" w:hAnsi="宋体" w:cs="宋体"/>
          <w:kern w:val="0"/>
          <w:sz w:val="24"/>
        </w:rPr>
      </w:pPr>
      <w:r>
        <w:rPr>
          <w:rFonts w:hint="eastAsia" w:ascii="宋体" w:hAnsi="宋体" w:cs="宋体"/>
          <w:color w:val="000000"/>
          <w:kern w:val="0"/>
          <w:szCs w:val="21"/>
          <w:shd w:val="clear" w:color="auto" w:fill="FFFFFF"/>
        </w:rPr>
        <w:t>同时出现两种以上不一致的，按照前款规定的顺序修正。修正后的报价按照本条</w:t>
      </w:r>
      <w:r>
        <w:rPr>
          <w:rFonts w:hint="eastAsia" w:ascii="宋体" w:hAnsi="宋体" w:cs="宋体"/>
          <w:kern w:val="0"/>
          <w:szCs w:val="21"/>
        </w:rPr>
        <w:t>18.5.</w:t>
      </w:r>
      <w:r>
        <w:rPr>
          <w:rFonts w:hint="eastAsia" w:ascii="宋体" w:hAnsi="宋体" w:cs="宋体"/>
          <w:kern w:val="0"/>
          <w:szCs w:val="21"/>
          <w:lang w:val="en-US" w:eastAsia="zh-CN"/>
        </w:rPr>
        <w:t>1</w:t>
      </w:r>
      <w:r>
        <w:rPr>
          <w:rFonts w:hint="eastAsia" w:ascii="宋体" w:hAnsi="宋体" w:cs="宋体"/>
          <w:color w:val="000000"/>
          <w:kern w:val="0"/>
          <w:szCs w:val="21"/>
          <w:shd w:val="clear" w:color="auto" w:fill="FFFFFF"/>
        </w:rPr>
        <w:t>的规定经投标人确认后产生约束力，投标人不确认的，其投标无效。</w:t>
      </w:r>
    </w:p>
    <w:p>
      <w:pPr>
        <w:spacing w:line="480" w:lineRule="exact"/>
        <w:rPr>
          <w:rFonts w:ascii="宋体" w:hAnsi="宋体" w:cs="宋体"/>
          <w:b/>
          <w:kern w:val="0"/>
          <w:szCs w:val="21"/>
        </w:rPr>
      </w:pPr>
      <w:r>
        <w:rPr>
          <w:rFonts w:hint="eastAsia" w:ascii="宋体" w:hAnsi="宋体" w:cs="宋体"/>
          <w:b/>
          <w:kern w:val="0"/>
          <w:szCs w:val="21"/>
        </w:rPr>
        <w:t xml:space="preserve">    19. 投标的澄清</w:t>
      </w:r>
    </w:p>
    <w:p>
      <w:pPr>
        <w:adjustRightInd w:val="0"/>
        <w:snapToGrid w:val="0"/>
        <w:spacing w:line="480" w:lineRule="exact"/>
        <w:ind w:left="1" w:firstLine="447" w:firstLineChars="213"/>
        <w:rPr>
          <w:rFonts w:ascii="宋体" w:hAnsi="宋体" w:cs="宋体"/>
          <w:kern w:val="0"/>
          <w:szCs w:val="21"/>
        </w:rPr>
      </w:pPr>
      <w:r>
        <w:rPr>
          <w:rFonts w:hint="eastAsia" w:ascii="宋体" w:hAnsi="宋体" w:cs="宋体"/>
          <w:kern w:val="0"/>
          <w:szCs w:val="21"/>
        </w:rPr>
        <w:t>19.1 评标委员会有权要求投标人对投标文件中含义不明确、同类问题表述不一致或者有明显文字和计算错误等内容作必要的澄清、说明或者补正。该要求应当采用书面形式,并由评标委员会专家共同签字确认。</w:t>
      </w:r>
    </w:p>
    <w:p>
      <w:pPr>
        <w:adjustRightInd w:val="0"/>
        <w:snapToGrid w:val="0"/>
        <w:spacing w:line="480" w:lineRule="exact"/>
        <w:ind w:left="1" w:firstLine="447" w:firstLineChars="213"/>
        <w:rPr>
          <w:rFonts w:ascii="宋体" w:hAnsi="宋体" w:cs="宋体"/>
          <w:kern w:val="0"/>
          <w:szCs w:val="21"/>
        </w:rPr>
      </w:pPr>
      <w:r>
        <w:rPr>
          <w:rFonts w:hint="eastAsia" w:ascii="宋体" w:hAnsi="宋体" w:cs="宋体"/>
          <w:kern w:val="0"/>
          <w:szCs w:val="21"/>
        </w:rPr>
        <w:t>19.2 投标人必须按照评标委员会要求的内容和时间做出书面答复，该答复须经法定代表人或投标人代表签字认可，将作为投标文件内容的一部分。</w:t>
      </w:r>
      <w:r>
        <w:rPr>
          <w:rFonts w:hint="eastAsia" w:ascii="宋体" w:hAnsi="宋体" w:cs="宋体"/>
          <w:kern w:val="0"/>
          <w:szCs w:val="21"/>
          <w:u w:val="single"/>
        </w:rPr>
        <w:t>澄清、说明或者补正不得超出投标文件的范围或者改变投标文件的实质性内容</w:t>
      </w:r>
      <w:r>
        <w:rPr>
          <w:rFonts w:hint="eastAsia" w:ascii="宋体" w:hAnsi="宋体" w:cs="宋体"/>
          <w:kern w:val="0"/>
          <w:szCs w:val="21"/>
        </w:rPr>
        <w:t>。</w:t>
      </w:r>
    </w:p>
    <w:p>
      <w:pPr>
        <w:widowControl/>
        <w:shd w:val="clear" w:color="auto" w:fill="FFFFFF"/>
        <w:spacing w:before="100" w:after="100" w:line="468" w:lineRule="exact"/>
        <w:ind w:firstLine="420" w:firstLineChars="200"/>
        <w:rPr>
          <w:rFonts w:ascii="宋体" w:hAnsi="宋体" w:cs="宋体"/>
          <w:kern w:val="0"/>
          <w:sz w:val="24"/>
        </w:rPr>
      </w:pPr>
      <w:r>
        <w:rPr>
          <w:rFonts w:hint="eastAsia" w:ascii="宋体" w:hAnsi="宋体" w:cs="宋体"/>
          <w:kern w:val="0"/>
          <w:szCs w:val="21"/>
        </w:rPr>
        <w:t>19.3</w:t>
      </w:r>
      <w:r>
        <w:rPr>
          <w:rFonts w:hint="eastAsia" w:ascii="宋体" w:hAnsi="宋体" w:cs="宋体"/>
          <w:kern w:val="0"/>
          <w:szCs w:val="21"/>
          <w:u w:val="single"/>
          <w:shd w:val="clear" w:color="auto" w:fill="FFFFFF"/>
        </w:rPr>
        <w:t>评标委员会认为投标人的报价明显低于其他通过符合性审查投标人的报价</w:t>
      </w:r>
      <w:r>
        <w:rPr>
          <w:rFonts w:hint="eastAsia" w:ascii="宋体" w:hAnsi="宋体" w:cs="宋体"/>
          <w:kern w:val="0"/>
          <w:szCs w:val="21"/>
        </w:rPr>
        <w:t>或者是价格虚高、物无所值等情形时</w:t>
      </w:r>
      <w:r>
        <w:rPr>
          <w:rFonts w:hint="eastAsia" w:ascii="宋体" w:hAnsi="宋体" w:cs="宋体"/>
          <w:kern w:val="0"/>
          <w:szCs w:val="21"/>
          <w:u w:val="single"/>
          <w:shd w:val="clear" w:color="auto" w:fill="FFFFFF"/>
        </w:rPr>
        <w:t>，有可能影响产品质量或者不能诚信履约的，应当要求其在评标现场合理的时间内提供书面说明，必要时提交相关证明材料；投标人不能证明其报价合理性的，评标委员会应当将其作为无效投标处理。</w:t>
      </w:r>
    </w:p>
    <w:p>
      <w:pPr>
        <w:spacing w:line="480" w:lineRule="exact"/>
        <w:ind w:firstLine="476" w:firstLineChars="226"/>
        <w:rPr>
          <w:rFonts w:ascii="宋体" w:hAnsi="宋体" w:cs="宋体"/>
          <w:b/>
          <w:kern w:val="0"/>
          <w:szCs w:val="21"/>
        </w:rPr>
      </w:pPr>
      <w:r>
        <w:rPr>
          <w:rFonts w:hint="eastAsia" w:ascii="宋体" w:hAnsi="宋体" w:cs="宋体"/>
          <w:b/>
          <w:kern w:val="0"/>
          <w:szCs w:val="21"/>
        </w:rPr>
        <w:t>20 . 比较与评价</w:t>
      </w:r>
    </w:p>
    <w:p>
      <w:pPr>
        <w:adjustRightInd w:val="0"/>
        <w:snapToGrid w:val="0"/>
        <w:spacing w:line="480" w:lineRule="exact"/>
        <w:ind w:firstLine="474" w:firstLineChars="226"/>
        <w:rPr>
          <w:rFonts w:ascii="宋体" w:hAnsi="宋体" w:cs="宋体"/>
          <w:kern w:val="0"/>
          <w:szCs w:val="21"/>
        </w:rPr>
      </w:pPr>
      <w:r>
        <w:rPr>
          <w:rFonts w:hint="eastAsia" w:ascii="宋体" w:hAnsi="宋体" w:cs="宋体"/>
          <w:kern w:val="0"/>
          <w:szCs w:val="21"/>
        </w:rPr>
        <w:t>评标委员会只对资格性审查和符合性审查合格的投标文件进行评价和比较；评审应严格按照招标文件中规定的评标标准、方法和中标条件进行。</w:t>
      </w:r>
    </w:p>
    <w:p>
      <w:pPr>
        <w:spacing w:line="480" w:lineRule="exact"/>
        <w:ind w:firstLine="476" w:firstLineChars="226"/>
        <w:rPr>
          <w:rFonts w:ascii="宋体" w:hAnsi="宋体" w:cs="宋体"/>
          <w:b/>
          <w:kern w:val="0"/>
          <w:szCs w:val="21"/>
        </w:rPr>
      </w:pPr>
      <w:r>
        <w:rPr>
          <w:rFonts w:hint="eastAsia" w:ascii="宋体" w:hAnsi="宋体" w:cs="宋体"/>
          <w:b/>
          <w:kern w:val="0"/>
          <w:szCs w:val="21"/>
        </w:rPr>
        <w:t>21. 评审复核</w:t>
      </w:r>
    </w:p>
    <w:p>
      <w:pPr>
        <w:spacing w:line="480" w:lineRule="exact"/>
        <w:ind w:firstLine="474" w:firstLineChars="226"/>
        <w:rPr>
          <w:rFonts w:ascii="宋体" w:hAnsi="宋体" w:cs="宋体"/>
          <w:kern w:val="0"/>
          <w:szCs w:val="21"/>
        </w:rPr>
      </w:pPr>
      <w:r>
        <w:rPr>
          <w:rFonts w:hint="eastAsia" w:ascii="宋体" w:hAnsi="宋体" w:cs="宋体"/>
          <w:kern w:val="0"/>
          <w:szCs w:val="21"/>
        </w:rPr>
        <w:t>评标委员会要对评审数据进行校对、核对，对畸高、畸低的重大差异评分进行复核；要对评分汇总情况进行复核，特别是对排名第一的、报价最低的、投标或相应文件被认定为无效的情形进行重点复核。</w:t>
      </w:r>
    </w:p>
    <w:p>
      <w:pPr>
        <w:spacing w:line="480" w:lineRule="exact"/>
        <w:ind w:firstLine="476" w:firstLineChars="226"/>
        <w:rPr>
          <w:rFonts w:ascii="宋体" w:hAnsi="宋体" w:cs="宋体"/>
          <w:b/>
          <w:kern w:val="0"/>
          <w:szCs w:val="21"/>
        </w:rPr>
      </w:pPr>
      <w:r>
        <w:rPr>
          <w:rFonts w:hint="eastAsia" w:ascii="宋体" w:hAnsi="宋体" w:cs="宋体"/>
          <w:b/>
          <w:kern w:val="0"/>
          <w:szCs w:val="21"/>
        </w:rPr>
        <w:t>22. 推荐中标候选供应商名单</w:t>
      </w:r>
    </w:p>
    <w:p>
      <w:pPr>
        <w:adjustRightInd w:val="0"/>
        <w:snapToGrid w:val="0"/>
        <w:spacing w:line="480" w:lineRule="exact"/>
        <w:ind w:firstLine="474" w:firstLineChars="226"/>
        <w:rPr>
          <w:rFonts w:ascii="宋体" w:hAnsi="宋体" w:cs="宋体"/>
          <w:kern w:val="0"/>
          <w:szCs w:val="21"/>
        </w:rPr>
      </w:pPr>
      <w:r>
        <w:rPr>
          <w:rFonts w:hint="eastAsia" w:ascii="宋体" w:hAnsi="宋体" w:cs="宋体"/>
          <w:kern w:val="0"/>
          <w:szCs w:val="21"/>
        </w:rPr>
        <w:t>评标委员会根据详细评审结果按得分由高到低顺序排列中标候选供应商，推荐1到3名中标候选人或根据采购人委托直接确定中标人。得分相同的，按投标报价由低到高顺序排列。得分且投标报价相同的，按技术指标优劣顺序排列。</w:t>
      </w:r>
    </w:p>
    <w:p>
      <w:pPr>
        <w:spacing w:line="480" w:lineRule="exact"/>
        <w:ind w:firstLine="476" w:firstLineChars="226"/>
        <w:rPr>
          <w:rFonts w:ascii="宋体" w:hAnsi="宋体" w:cs="宋体"/>
          <w:b/>
          <w:kern w:val="0"/>
          <w:szCs w:val="21"/>
        </w:rPr>
      </w:pPr>
      <w:r>
        <w:rPr>
          <w:rFonts w:hint="eastAsia" w:ascii="宋体" w:hAnsi="宋体" w:cs="宋体"/>
          <w:b/>
          <w:kern w:val="0"/>
          <w:szCs w:val="21"/>
        </w:rPr>
        <w:t>23 . 编写评标报告</w:t>
      </w:r>
    </w:p>
    <w:p>
      <w:pPr>
        <w:adjustRightInd w:val="0"/>
        <w:snapToGrid w:val="0"/>
        <w:spacing w:line="480" w:lineRule="exact"/>
        <w:ind w:firstLine="474" w:firstLineChars="226"/>
        <w:rPr>
          <w:rFonts w:ascii="宋体" w:hAnsi="宋体" w:cs="宋体"/>
          <w:kern w:val="0"/>
          <w:szCs w:val="21"/>
        </w:rPr>
      </w:pPr>
      <w:r>
        <w:rPr>
          <w:rFonts w:hint="eastAsia" w:ascii="宋体" w:hAnsi="宋体" w:cs="宋体"/>
          <w:kern w:val="0"/>
          <w:szCs w:val="21"/>
        </w:rPr>
        <w:t>评标委员会主任委员根据全体评标成员签字的原始记录和评标结果编写评标报告，并由全体评标成员共同签字确认。</w:t>
      </w:r>
    </w:p>
    <w:p>
      <w:pPr>
        <w:spacing w:line="480" w:lineRule="exact"/>
        <w:ind w:firstLine="476" w:firstLineChars="226"/>
        <w:rPr>
          <w:rFonts w:ascii="宋体" w:hAnsi="宋体" w:cs="宋体"/>
          <w:b/>
          <w:kern w:val="0"/>
          <w:szCs w:val="21"/>
        </w:rPr>
      </w:pPr>
      <w:r>
        <w:rPr>
          <w:rFonts w:hint="eastAsia" w:ascii="宋体" w:hAnsi="宋体" w:cs="宋体"/>
          <w:b/>
          <w:kern w:val="0"/>
          <w:szCs w:val="21"/>
        </w:rPr>
        <w:t>24 . 评标过程保密</w:t>
      </w:r>
    </w:p>
    <w:p>
      <w:pPr>
        <w:adjustRightInd w:val="0"/>
        <w:snapToGrid w:val="0"/>
        <w:spacing w:line="480" w:lineRule="exact"/>
        <w:ind w:firstLine="474" w:firstLineChars="226"/>
        <w:rPr>
          <w:rFonts w:ascii="宋体" w:hAnsi="宋体" w:cs="宋体"/>
          <w:kern w:val="0"/>
          <w:szCs w:val="21"/>
        </w:rPr>
      </w:pPr>
      <w:r>
        <w:rPr>
          <w:rFonts w:hint="eastAsia" w:ascii="宋体" w:hAnsi="宋体" w:cs="宋体"/>
          <w:kern w:val="0"/>
          <w:szCs w:val="21"/>
        </w:rPr>
        <w:t>开标之后，直到授予中标人合同止，凡是属于审查、澄清、评价和比较投标的有关资料以及授标意向等，均不得向投标人或其他与评标无关的人员透露。</w:t>
      </w:r>
    </w:p>
    <w:p>
      <w:pPr>
        <w:spacing w:line="480" w:lineRule="exact"/>
        <w:ind w:firstLine="476" w:firstLineChars="226"/>
        <w:rPr>
          <w:rFonts w:ascii="宋体" w:hAnsi="宋体" w:cs="宋体"/>
          <w:b/>
          <w:kern w:val="0"/>
          <w:szCs w:val="21"/>
        </w:rPr>
      </w:pPr>
      <w:r>
        <w:rPr>
          <w:rFonts w:hint="eastAsia" w:ascii="宋体" w:hAnsi="宋体" w:cs="宋体"/>
          <w:b/>
          <w:kern w:val="0"/>
          <w:szCs w:val="21"/>
        </w:rPr>
        <w:t>25. 关于投标人瑕疵滞后发现的处理规则</w:t>
      </w:r>
    </w:p>
    <w:p>
      <w:pPr>
        <w:spacing w:line="480" w:lineRule="exact"/>
        <w:ind w:firstLine="474" w:firstLineChars="226"/>
        <w:rPr>
          <w:rFonts w:ascii="宋体" w:hAnsi="宋体" w:cs="宋体"/>
          <w:kern w:val="0"/>
          <w:szCs w:val="21"/>
        </w:rPr>
      </w:pPr>
      <w:r>
        <w:rPr>
          <w:rFonts w:hint="eastAsia" w:ascii="宋体" w:hAnsi="宋体" w:cs="宋体"/>
          <w:kern w:val="0"/>
          <w:szCs w:val="21"/>
        </w:rPr>
        <w:t>无论基于何种原因，各项本应作拒绝投标和无效投标处理的情形，即便未被及时发现而使该投标人进入初审、详细评审或其它后续程序，包括已经签约的情形，</w:t>
      </w:r>
      <w:r>
        <w:rPr>
          <w:rFonts w:hint="eastAsia" w:ascii="宋体" w:hAnsi="宋体" w:cs="宋体"/>
          <w:kern w:val="0"/>
          <w:szCs w:val="21"/>
          <w:u w:val="single"/>
        </w:rPr>
        <w:t>一旦被发现存在上述情形，集采机构有权依法采取相应的纠正或补救措施</w:t>
      </w:r>
      <w:r>
        <w:rPr>
          <w:rFonts w:hint="eastAsia" w:ascii="宋体" w:hAnsi="宋体" w:cs="宋体"/>
          <w:kern w:val="0"/>
          <w:szCs w:val="21"/>
        </w:rPr>
        <w:t>。一旦此前评议结果被取消，其相关的一切损失均由该投标人承担。</w:t>
      </w:r>
    </w:p>
    <w:p>
      <w:pPr>
        <w:spacing w:line="480" w:lineRule="exact"/>
        <w:ind w:firstLine="476" w:firstLineChars="226"/>
        <w:rPr>
          <w:rFonts w:ascii="宋体" w:hAnsi="宋体" w:cs="宋体"/>
          <w:b/>
          <w:kern w:val="0"/>
          <w:szCs w:val="21"/>
        </w:rPr>
      </w:pPr>
      <w:r>
        <w:rPr>
          <w:rFonts w:hint="eastAsia" w:ascii="宋体" w:hAnsi="宋体" w:cs="宋体"/>
          <w:b/>
          <w:kern w:val="0"/>
          <w:szCs w:val="21"/>
        </w:rPr>
        <w:t>26. 采购项目废标</w:t>
      </w:r>
    </w:p>
    <w:p>
      <w:pPr>
        <w:adjustRightInd w:val="0"/>
        <w:snapToGrid w:val="0"/>
        <w:spacing w:line="480" w:lineRule="exact"/>
        <w:ind w:firstLine="474" w:firstLineChars="226"/>
        <w:rPr>
          <w:rFonts w:ascii="宋体" w:hAnsi="宋体" w:cs="宋体"/>
          <w:kern w:val="0"/>
          <w:szCs w:val="21"/>
        </w:rPr>
      </w:pPr>
      <w:r>
        <w:rPr>
          <w:rFonts w:hint="eastAsia" w:ascii="宋体" w:hAnsi="宋体" w:cs="宋体"/>
          <w:kern w:val="0"/>
          <w:szCs w:val="21"/>
        </w:rPr>
        <w:t>26.1 在评标过程中，评标委员会发现有下列情形之一的，应对采购项目予以废标：</w:t>
      </w:r>
    </w:p>
    <w:p>
      <w:pPr>
        <w:adjustRightInd w:val="0"/>
        <w:snapToGrid w:val="0"/>
        <w:spacing w:line="480" w:lineRule="exact"/>
        <w:ind w:firstLine="684" w:firstLineChars="326"/>
        <w:rPr>
          <w:rFonts w:ascii="宋体" w:hAnsi="宋体" w:cs="宋体"/>
          <w:kern w:val="0"/>
          <w:szCs w:val="21"/>
        </w:rPr>
      </w:pPr>
      <w:r>
        <w:rPr>
          <w:rFonts w:hint="eastAsia" w:ascii="宋体" w:hAnsi="宋体" w:cs="宋体"/>
          <w:kern w:val="0"/>
          <w:szCs w:val="21"/>
        </w:rPr>
        <w:t>A 符合专业条件的</w:t>
      </w:r>
      <w:r>
        <w:rPr>
          <w:rFonts w:hint="eastAsia" w:ascii="宋体" w:hAnsi="宋体" w:cs="宋体"/>
          <w:kern w:val="0"/>
          <w:szCs w:val="21"/>
          <w:lang w:eastAsia="zh-CN"/>
        </w:rPr>
        <w:t>投标人</w:t>
      </w:r>
      <w:r>
        <w:rPr>
          <w:rFonts w:hint="eastAsia" w:ascii="宋体" w:hAnsi="宋体" w:cs="宋体"/>
          <w:kern w:val="0"/>
          <w:szCs w:val="21"/>
        </w:rPr>
        <w:t>或者对招标文件作实质响应的供应商数量不足3家的；</w:t>
      </w:r>
    </w:p>
    <w:p>
      <w:pPr>
        <w:adjustRightInd w:val="0"/>
        <w:snapToGrid w:val="0"/>
        <w:spacing w:line="480" w:lineRule="exact"/>
        <w:ind w:firstLine="684" w:firstLineChars="326"/>
        <w:rPr>
          <w:rFonts w:ascii="宋体" w:hAnsi="宋体" w:cs="宋体"/>
          <w:kern w:val="0"/>
          <w:szCs w:val="21"/>
        </w:rPr>
      </w:pPr>
      <w:r>
        <w:rPr>
          <w:rFonts w:hint="eastAsia" w:ascii="宋体" w:hAnsi="宋体" w:cs="宋体"/>
          <w:kern w:val="0"/>
          <w:szCs w:val="21"/>
        </w:rPr>
        <w:t>B 投标人的报价均超过采购预算的；</w:t>
      </w:r>
    </w:p>
    <w:p>
      <w:pPr>
        <w:adjustRightInd w:val="0"/>
        <w:snapToGrid w:val="0"/>
        <w:spacing w:line="480" w:lineRule="exact"/>
        <w:ind w:firstLine="684" w:firstLineChars="326"/>
        <w:rPr>
          <w:rFonts w:ascii="宋体" w:hAnsi="宋体" w:cs="宋体"/>
          <w:kern w:val="0"/>
          <w:szCs w:val="21"/>
        </w:rPr>
      </w:pPr>
      <w:r>
        <w:rPr>
          <w:rFonts w:hint="eastAsia" w:ascii="宋体" w:hAnsi="宋体" w:cs="宋体"/>
          <w:kern w:val="0"/>
          <w:szCs w:val="21"/>
        </w:rPr>
        <w:t>C 出现影响采购公正的违法、违规行为的；</w:t>
      </w:r>
    </w:p>
    <w:p>
      <w:pPr>
        <w:adjustRightInd w:val="0"/>
        <w:snapToGrid w:val="0"/>
        <w:spacing w:line="480" w:lineRule="exact"/>
        <w:ind w:firstLine="684" w:firstLineChars="326"/>
        <w:rPr>
          <w:rFonts w:ascii="宋体" w:hAnsi="宋体" w:cs="宋体"/>
          <w:kern w:val="0"/>
          <w:szCs w:val="21"/>
        </w:rPr>
      </w:pPr>
      <w:r>
        <w:rPr>
          <w:rFonts w:hint="eastAsia" w:ascii="宋体" w:hAnsi="宋体" w:cs="宋体"/>
          <w:kern w:val="0"/>
          <w:szCs w:val="21"/>
        </w:rPr>
        <w:t>D 因重大变故，采购任务取消的。</w:t>
      </w:r>
    </w:p>
    <w:p>
      <w:pPr>
        <w:adjustRightInd w:val="0"/>
        <w:snapToGrid w:val="0"/>
        <w:spacing w:line="480" w:lineRule="exact"/>
        <w:ind w:firstLine="474" w:firstLineChars="226"/>
        <w:rPr>
          <w:rFonts w:ascii="宋体" w:hAnsi="宋体" w:cs="宋体"/>
          <w:kern w:val="0"/>
          <w:szCs w:val="21"/>
        </w:rPr>
      </w:pPr>
      <w:r>
        <w:rPr>
          <w:rFonts w:hint="eastAsia" w:ascii="宋体" w:hAnsi="宋体" w:cs="宋体"/>
          <w:kern w:val="0"/>
          <w:szCs w:val="21"/>
        </w:rPr>
        <w:t>采购项目废标后，评标委员会应做出书面报告。</w:t>
      </w:r>
    </w:p>
    <w:p>
      <w:pPr>
        <w:adjustRightInd w:val="0"/>
        <w:snapToGrid w:val="0"/>
        <w:spacing w:line="480" w:lineRule="exact"/>
        <w:ind w:firstLine="474" w:firstLineChars="226"/>
        <w:rPr>
          <w:rFonts w:ascii="宋体" w:hAnsi="宋体" w:cs="宋体"/>
          <w:kern w:val="0"/>
          <w:szCs w:val="21"/>
        </w:rPr>
      </w:pPr>
      <w:r>
        <w:rPr>
          <w:rFonts w:hint="eastAsia" w:ascii="宋体" w:hAnsi="宋体" w:cs="宋体"/>
          <w:kern w:val="0"/>
          <w:szCs w:val="21"/>
        </w:rPr>
        <w:t>26.2 废标后，集采机构将在财政部门指定的媒体上发布废标结果公告。</w:t>
      </w:r>
    </w:p>
    <w:p>
      <w:pPr>
        <w:adjustRightInd w:val="0"/>
        <w:snapToGrid w:val="0"/>
        <w:spacing w:line="480" w:lineRule="exact"/>
        <w:ind w:firstLine="474" w:firstLineChars="226"/>
        <w:rPr>
          <w:rFonts w:ascii="宋体" w:hAnsi="宋体" w:cs="宋体"/>
          <w:kern w:val="0"/>
          <w:szCs w:val="21"/>
        </w:rPr>
      </w:pPr>
      <w:r>
        <w:rPr>
          <w:rFonts w:hint="eastAsia" w:ascii="宋体" w:hAnsi="宋体" w:cs="宋体"/>
          <w:kern w:val="0"/>
          <w:szCs w:val="21"/>
        </w:rPr>
        <w:t>26.3投标截止时间结束后参加投标的供应商不足三家,或在评标期间出现对招标文件作出明确响应的供应商不足三家情形的，采购人将视具体情况报告政府采购监管部门，按政府采购监管部门答复的意见改为其他方式继续采购。</w:t>
      </w:r>
    </w:p>
    <w:p>
      <w:pPr>
        <w:adjustRightInd w:val="0"/>
        <w:snapToGrid w:val="0"/>
        <w:spacing w:line="480" w:lineRule="exact"/>
        <w:ind w:firstLine="474" w:firstLineChars="226"/>
        <w:rPr>
          <w:rFonts w:ascii="宋体" w:hAnsi="宋体" w:cs="宋体"/>
          <w:kern w:val="0"/>
          <w:szCs w:val="21"/>
        </w:rPr>
      </w:pPr>
      <w:r>
        <w:rPr>
          <w:rFonts w:hint="eastAsia" w:ascii="宋体" w:hAnsi="宋体" w:cs="宋体"/>
          <w:kern w:val="0"/>
          <w:szCs w:val="21"/>
        </w:rPr>
        <w:t>27、有下列情形之一的，视为投标人串通投标，其投标无效：</w:t>
      </w:r>
    </w:p>
    <w:p>
      <w:pPr>
        <w:adjustRightInd w:val="0"/>
        <w:snapToGrid w:val="0"/>
        <w:spacing w:line="480" w:lineRule="exact"/>
        <w:ind w:firstLine="474" w:firstLineChars="226"/>
        <w:rPr>
          <w:rFonts w:ascii="宋体" w:hAnsi="宋体" w:cs="宋体"/>
          <w:kern w:val="0"/>
          <w:szCs w:val="21"/>
        </w:rPr>
      </w:pPr>
      <w:r>
        <w:rPr>
          <w:rFonts w:hint="eastAsia" w:ascii="宋体" w:hAnsi="宋体" w:cs="宋体"/>
          <w:kern w:val="0"/>
          <w:szCs w:val="21"/>
        </w:rPr>
        <w:t>(一)不同投标人的投标文件由同一单位或者个人编制；（包含上传电子投标文件IP地址相同）</w:t>
      </w:r>
    </w:p>
    <w:p>
      <w:pPr>
        <w:adjustRightInd w:val="0"/>
        <w:snapToGrid w:val="0"/>
        <w:spacing w:line="480" w:lineRule="exact"/>
        <w:ind w:firstLine="474" w:firstLineChars="226"/>
        <w:rPr>
          <w:rFonts w:ascii="宋体" w:hAnsi="宋体" w:cs="宋体"/>
          <w:kern w:val="0"/>
          <w:szCs w:val="21"/>
        </w:rPr>
      </w:pPr>
      <w:r>
        <w:rPr>
          <w:rFonts w:hint="eastAsia" w:ascii="宋体" w:hAnsi="宋体" w:cs="宋体"/>
          <w:kern w:val="0"/>
          <w:szCs w:val="21"/>
        </w:rPr>
        <w:t>(二)不同投标人委托同一单位或者个人办理投标事宜；</w:t>
      </w:r>
    </w:p>
    <w:p>
      <w:pPr>
        <w:adjustRightInd w:val="0"/>
        <w:snapToGrid w:val="0"/>
        <w:spacing w:line="480" w:lineRule="exact"/>
        <w:ind w:firstLine="474" w:firstLineChars="226"/>
        <w:rPr>
          <w:rFonts w:ascii="宋体" w:hAnsi="宋体" w:cs="宋体"/>
          <w:kern w:val="0"/>
          <w:szCs w:val="21"/>
        </w:rPr>
      </w:pPr>
      <w:r>
        <w:rPr>
          <w:rFonts w:hint="eastAsia" w:ascii="宋体" w:hAnsi="宋体" w:cs="宋体"/>
          <w:kern w:val="0"/>
          <w:szCs w:val="21"/>
        </w:rPr>
        <w:t>(三)不同投标人的投标文件载明的项目管理成员或者联系人员为同一人；</w:t>
      </w:r>
    </w:p>
    <w:p>
      <w:pPr>
        <w:adjustRightInd w:val="0"/>
        <w:snapToGrid w:val="0"/>
        <w:spacing w:line="480" w:lineRule="exact"/>
        <w:ind w:firstLine="474" w:firstLineChars="226"/>
        <w:rPr>
          <w:rFonts w:ascii="宋体" w:hAnsi="宋体" w:cs="宋体"/>
          <w:kern w:val="0"/>
          <w:szCs w:val="21"/>
        </w:rPr>
      </w:pPr>
      <w:r>
        <w:rPr>
          <w:rFonts w:hint="eastAsia" w:ascii="宋体" w:hAnsi="宋体" w:cs="宋体"/>
          <w:kern w:val="0"/>
          <w:szCs w:val="21"/>
        </w:rPr>
        <w:t>(四)不同投标人的投标文件异常一致或者投标报价呈规律性差异；</w:t>
      </w:r>
    </w:p>
    <w:p>
      <w:pPr>
        <w:adjustRightInd w:val="0"/>
        <w:snapToGrid w:val="0"/>
        <w:spacing w:line="480" w:lineRule="exact"/>
        <w:ind w:firstLine="474" w:firstLineChars="226"/>
        <w:rPr>
          <w:rFonts w:ascii="宋体" w:hAnsi="宋体" w:cs="宋体"/>
          <w:kern w:val="0"/>
          <w:szCs w:val="21"/>
        </w:rPr>
      </w:pPr>
      <w:r>
        <w:rPr>
          <w:rFonts w:hint="eastAsia" w:ascii="宋体" w:hAnsi="宋体" w:cs="宋体"/>
          <w:kern w:val="0"/>
          <w:szCs w:val="21"/>
        </w:rPr>
        <w:t>(五)不同投标人的投标文件相互混装；</w:t>
      </w:r>
    </w:p>
    <w:p>
      <w:pPr>
        <w:adjustRightInd w:val="0"/>
        <w:snapToGrid w:val="0"/>
        <w:spacing w:line="480" w:lineRule="exact"/>
        <w:ind w:firstLine="474" w:firstLineChars="226"/>
        <w:rPr>
          <w:rFonts w:ascii="宋体" w:hAnsi="宋体" w:cs="宋体"/>
          <w:kern w:val="0"/>
          <w:szCs w:val="21"/>
        </w:rPr>
      </w:pPr>
      <w:r>
        <w:rPr>
          <w:rFonts w:hint="eastAsia" w:ascii="宋体" w:hAnsi="宋体" w:cs="宋体"/>
          <w:kern w:val="0"/>
          <w:szCs w:val="21"/>
        </w:rPr>
        <w:t>(六)不同投标人的投标保证金从同一单位或者个人的账户转出。</w:t>
      </w:r>
    </w:p>
    <w:p>
      <w:pPr>
        <w:keepNext/>
        <w:keepLines/>
        <w:adjustRightInd w:val="0"/>
        <w:spacing w:beforeLines="10" w:afterLines="10" w:line="480" w:lineRule="exact"/>
        <w:ind w:left="735"/>
        <w:outlineLvl w:val="1"/>
        <w:rPr>
          <w:rFonts w:ascii="宋体" w:hAnsi="宋体" w:cs="宋体"/>
          <w:b/>
          <w:kern w:val="0"/>
          <w:szCs w:val="21"/>
        </w:rPr>
      </w:pPr>
      <w:r>
        <w:rPr>
          <w:rFonts w:hint="eastAsia" w:ascii="宋体" w:hAnsi="宋体" w:cs="宋体"/>
          <w:b/>
          <w:kern w:val="0"/>
          <w:szCs w:val="21"/>
        </w:rPr>
        <w:t>七、签订合同</w:t>
      </w:r>
    </w:p>
    <w:p>
      <w:pPr>
        <w:spacing w:line="480" w:lineRule="exact"/>
        <w:ind w:firstLine="420" w:firstLineChars="200"/>
        <w:rPr>
          <w:rFonts w:ascii="宋体" w:hAnsi="宋体" w:cs="宋体"/>
          <w:kern w:val="0"/>
          <w:szCs w:val="21"/>
        </w:rPr>
      </w:pPr>
      <w:r>
        <w:rPr>
          <w:rFonts w:hint="eastAsia" w:ascii="宋体" w:hAnsi="宋体" w:cs="宋体"/>
          <w:kern w:val="0"/>
          <w:szCs w:val="21"/>
        </w:rPr>
        <w:t>28．中标通知</w:t>
      </w:r>
    </w:p>
    <w:p>
      <w:pPr>
        <w:pStyle w:val="106"/>
        <w:snapToGrid w:val="0"/>
        <w:spacing w:line="480" w:lineRule="exact"/>
        <w:ind w:firstLine="420" w:firstLineChars="200"/>
        <w:textAlignment w:val="auto"/>
        <w:rPr>
          <w:rFonts w:hint="eastAsia" w:ascii="宋体" w:hAnsi="宋体" w:eastAsia="宋体" w:cs="宋体"/>
          <w:b w:val="0"/>
          <w:bCs/>
          <w:sz w:val="21"/>
          <w:szCs w:val="21"/>
          <w:highlight w:val="none"/>
        </w:rPr>
      </w:pPr>
      <w:r>
        <w:rPr>
          <w:rFonts w:hint="eastAsia" w:ascii="宋体" w:hAnsi="宋体" w:cs="宋体"/>
          <w:b w:val="0"/>
          <w:bCs/>
          <w:kern w:val="0"/>
          <w:sz w:val="21"/>
          <w:szCs w:val="21"/>
        </w:rPr>
        <w:t>28.1</w:t>
      </w:r>
      <w:r>
        <w:rPr>
          <w:rFonts w:hint="eastAsia" w:cs="宋体"/>
          <w:b w:val="0"/>
          <w:bCs/>
          <w:kern w:val="0"/>
          <w:sz w:val="21"/>
          <w:szCs w:val="21"/>
          <w:lang w:eastAsia="zh-CN"/>
        </w:rPr>
        <w:t>中标</w:t>
      </w:r>
      <w:r>
        <w:rPr>
          <w:rFonts w:hint="eastAsia" w:ascii="宋体" w:hAnsi="宋体" w:eastAsia="宋体" w:cs="宋体"/>
          <w:b w:val="0"/>
          <w:bCs/>
          <w:sz w:val="21"/>
          <w:szCs w:val="21"/>
          <w:highlight w:val="none"/>
        </w:rPr>
        <w:t>供应商确定后，集采机构将在刊登本次</w:t>
      </w:r>
      <w:r>
        <w:rPr>
          <w:rFonts w:hint="eastAsia" w:cs="宋体"/>
          <w:b w:val="0"/>
          <w:bCs/>
          <w:sz w:val="21"/>
          <w:szCs w:val="21"/>
          <w:highlight w:val="none"/>
          <w:lang w:eastAsia="zh-CN"/>
        </w:rPr>
        <w:t>招标</w:t>
      </w:r>
      <w:r>
        <w:rPr>
          <w:rFonts w:hint="eastAsia" w:ascii="宋体" w:hAnsi="宋体" w:eastAsia="宋体" w:cs="宋体"/>
          <w:b w:val="0"/>
          <w:bCs/>
          <w:sz w:val="21"/>
          <w:szCs w:val="21"/>
          <w:highlight w:val="none"/>
        </w:rPr>
        <w:t>公告的媒体上发布</w:t>
      </w:r>
      <w:r>
        <w:rPr>
          <w:rFonts w:hint="eastAsia" w:cs="宋体"/>
          <w:b w:val="0"/>
          <w:bCs/>
          <w:sz w:val="21"/>
          <w:szCs w:val="21"/>
          <w:highlight w:val="none"/>
          <w:lang w:eastAsia="zh-CN"/>
        </w:rPr>
        <w:t>中标</w:t>
      </w:r>
      <w:r>
        <w:rPr>
          <w:rFonts w:hint="eastAsia" w:ascii="宋体" w:hAnsi="宋体" w:eastAsia="宋体" w:cs="宋体"/>
          <w:b w:val="0"/>
          <w:bCs/>
          <w:sz w:val="21"/>
          <w:szCs w:val="21"/>
          <w:highlight w:val="none"/>
        </w:rPr>
        <w:t>公告，同时向</w:t>
      </w:r>
      <w:r>
        <w:rPr>
          <w:rFonts w:hint="eastAsia" w:cs="宋体"/>
          <w:b w:val="0"/>
          <w:bCs/>
          <w:sz w:val="21"/>
          <w:szCs w:val="21"/>
          <w:highlight w:val="none"/>
          <w:lang w:eastAsia="zh-CN"/>
        </w:rPr>
        <w:t>中标</w:t>
      </w:r>
      <w:r>
        <w:rPr>
          <w:rFonts w:hint="eastAsia" w:ascii="宋体" w:hAnsi="宋体" w:eastAsia="宋体" w:cs="宋体"/>
          <w:b w:val="0"/>
          <w:bCs/>
          <w:sz w:val="21"/>
          <w:szCs w:val="21"/>
          <w:highlight w:val="none"/>
        </w:rPr>
        <w:t>供应商发出</w:t>
      </w:r>
      <w:r>
        <w:rPr>
          <w:rFonts w:hint="eastAsia" w:cs="宋体"/>
          <w:b w:val="0"/>
          <w:bCs/>
          <w:sz w:val="21"/>
          <w:szCs w:val="21"/>
          <w:highlight w:val="none"/>
          <w:lang w:eastAsia="zh-CN"/>
        </w:rPr>
        <w:t>中标</w:t>
      </w:r>
      <w:r>
        <w:rPr>
          <w:rFonts w:hint="eastAsia" w:ascii="宋体" w:hAnsi="宋体" w:eastAsia="宋体" w:cs="宋体"/>
          <w:b w:val="0"/>
          <w:bCs/>
          <w:sz w:val="21"/>
          <w:szCs w:val="21"/>
          <w:highlight w:val="none"/>
        </w:rPr>
        <w:t>通知书，</w:t>
      </w:r>
      <w:r>
        <w:rPr>
          <w:rFonts w:hint="eastAsia" w:cs="宋体"/>
          <w:b w:val="0"/>
          <w:bCs/>
          <w:sz w:val="21"/>
          <w:szCs w:val="21"/>
          <w:highlight w:val="none"/>
          <w:lang w:eastAsia="zh-CN"/>
        </w:rPr>
        <w:t>中标</w:t>
      </w:r>
      <w:r>
        <w:rPr>
          <w:rFonts w:hint="eastAsia" w:ascii="宋体" w:hAnsi="宋体" w:eastAsia="宋体" w:cs="宋体"/>
          <w:b w:val="0"/>
          <w:bCs/>
          <w:sz w:val="21"/>
          <w:szCs w:val="21"/>
          <w:highlight w:val="none"/>
        </w:rPr>
        <w:t>通知书对采购人和</w:t>
      </w:r>
      <w:r>
        <w:rPr>
          <w:rFonts w:hint="eastAsia" w:cs="宋体"/>
          <w:b w:val="0"/>
          <w:bCs/>
          <w:sz w:val="21"/>
          <w:szCs w:val="21"/>
          <w:highlight w:val="none"/>
          <w:lang w:eastAsia="zh-CN"/>
        </w:rPr>
        <w:t>中标</w:t>
      </w:r>
      <w:r>
        <w:rPr>
          <w:rFonts w:hint="eastAsia" w:ascii="宋体" w:hAnsi="宋体" w:eastAsia="宋体" w:cs="宋体"/>
          <w:b w:val="0"/>
          <w:bCs/>
          <w:sz w:val="21"/>
          <w:szCs w:val="21"/>
          <w:highlight w:val="none"/>
        </w:rPr>
        <w:t>供应商具有同等法律效力。</w:t>
      </w:r>
      <w:r>
        <w:rPr>
          <w:rFonts w:hint="eastAsia" w:cs="宋体"/>
          <w:b w:val="0"/>
          <w:bCs/>
          <w:sz w:val="21"/>
          <w:szCs w:val="21"/>
          <w:highlight w:val="none"/>
          <w:lang w:eastAsia="zh-CN"/>
        </w:rPr>
        <w:t>中标</w:t>
      </w:r>
      <w:r>
        <w:rPr>
          <w:rFonts w:hint="eastAsia" w:ascii="宋体" w:hAnsi="宋体" w:eastAsia="宋体" w:cs="宋体"/>
          <w:b w:val="0"/>
          <w:bCs/>
          <w:sz w:val="21"/>
          <w:szCs w:val="21"/>
          <w:highlight w:val="none"/>
        </w:rPr>
        <w:t>通知书发出以后，采购人改变</w:t>
      </w:r>
      <w:r>
        <w:rPr>
          <w:rFonts w:hint="eastAsia" w:cs="宋体"/>
          <w:b w:val="0"/>
          <w:bCs/>
          <w:sz w:val="21"/>
          <w:szCs w:val="21"/>
          <w:highlight w:val="none"/>
          <w:lang w:eastAsia="zh-CN"/>
        </w:rPr>
        <w:t>中标</w:t>
      </w:r>
      <w:r>
        <w:rPr>
          <w:rFonts w:hint="eastAsia" w:ascii="宋体" w:hAnsi="宋体" w:eastAsia="宋体" w:cs="宋体"/>
          <w:b w:val="0"/>
          <w:bCs/>
          <w:sz w:val="21"/>
          <w:szCs w:val="21"/>
          <w:highlight w:val="none"/>
        </w:rPr>
        <w:t>结果或者</w:t>
      </w:r>
      <w:r>
        <w:rPr>
          <w:rFonts w:hint="eastAsia" w:cs="宋体"/>
          <w:b w:val="0"/>
          <w:bCs/>
          <w:sz w:val="21"/>
          <w:szCs w:val="21"/>
          <w:highlight w:val="none"/>
          <w:lang w:eastAsia="zh-CN"/>
        </w:rPr>
        <w:t>中标</w:t>
      </w:r>
      <w:r>
        <w:rPr>
          <w:rFonts w:hint="eastAsia" w:ascii="宋体" w:hAnsi="宋体" w:eastAsia="宋体" w:cs="宋体"/>
          <w:b w:val="0"/>
          <w:bCs/>
          <w:sz w:val="21"/>
          <w:szCs w:val="21"/>
          <w:highlight w:val="none"/>
        </w:rPr>
        <w:t>供应商放弃</w:t>
      </w:r>
      <w:r>
        <w:rPr>
          <w:rFonts w:hint="eastAsia" w:cs="宋体"/>
          <w:b w:val="0"/>
          <w:bCs/>
          <w:sz w:val="21"/>
          <w:szCs w:val="21"/>
          <w:highlight w:val="none"/>
          <w:lang w:eastAsia="zh-CN"/>
        </w:rPr>
        <w:t>中标</w:t>
      </w:r>
      <w:r>
        <w:rPr>
          <w:rFonts w:hint="eastAsia" w:ascii="宋体" w:hAnsi="宋体" w:eastAsia="宋体" w:cs="宋体"/>
          <w:b w:val="0"/>
          <w:bCs/>
          <w:sz w:val="21"/>
          <w:szCs w:val="21"/>
          <w:highlight w:val="none"/>
        </w:rPr>
        <w:t>，应当承担相应的法律责任。采购人应当自</w:t>
      </w:r>
      <w:r>
        <w:rPr>
          <w:rFonts w:hint="eastAsia" w:cs="宋体"/>
          <w:b w:val="0"/>
          <w:bCs/>
          <w:sz w:val="21"/>
          <w:szCs w:val="21"/>
          <w:highlight w:val="none"/>
          <w:lang w:eastAsia="zh-CN"/>
        </w:rPr>
        <w:t>中标</w:t>
      </w:r>
      <w:r>
        <w:rPr>
          <w:rFonts w:hint="eastAsia" w:ascii="宋体" w:hAnsi="宋体" w:eastAsia="宋体" w:cs="宋体"/>
          <w:b w:val="0"/>
          <w:bCs/>
          <w:sz w:val="21"/>
          <w:szCs w:val="21"/>
          <w:highlight w:val="none"/>
        </w:rPr>
        <w:t>通知书发出之日起</w:t>
      </w:r>
      <w:r>
        <w:rPr>
          <w:rFonts w:hint="eastAsia" w:cs="宋体"/>
          <w:b w:val="0"/>
          <w:bCs/>
          <w:sz w:val="21"/>
          <w:szCs w:val="21"/>
          <w:highlight w:val="none"/>
          <w:lang w:val="en-US" w:eastAsia="zh-CN"/>
        </w:rPr>
        <w:t>10日内（最晚不超过</w:t>
      </w:r>
      <w:r>
        <w:rPr>
          <w:rFonts w:hint="eastAsia" w:ascii="宋体" w:hAnsi="宋体" w:eastAsia="宋体" w:cs="宋体"/>
          <w:b w:val="0"/>
          <w:bCs/>
          <w:sz w:val="21"/>
          <w:szCs w:val="21"/>
          <w:highlight w:val="none"/>
        </w:rPr>
        <w:t>30日</w:t>
      </w:r>
      <w:r>
        <w:rPr>
          <w:rFonts w:hint="eastAsia" w:cs="宋体"/>
          <w:b w:val="0"/>
          <w:bCs/>
          <w:sz w:val="21"/>
          <w:szCs w:val="21"/>
          <w:highlight w:val="none"/>
          <w:lang w:eastAsia="zh-CN"/>
        </w:rPr>
        <w:t>）</w:t>
      </w:r>
      <w:r>
        <w:rPr>
          <w:rFonts w:hint="eastAsia" w:ascii="宋体" w:hAnsi="宋体" w:eastAsia="宋体" w:cs="宋体"/>
          <w:b w:val="0"/>
          <w:bCs/>
          <w:sz w:val="21"/>
          <w:szCs w:val="21"/>
          <w:highlight w:val="none"/>
        </w:rPr>
        <w:t>与</w:t>
      </w:r>
      <w:r>
        <w:rPr>
          <w:rFonts w:hint="eastAsia" w:cs="宋体"/>
          <w:b w:val="0"/>
          <w:bCs/>
          <w:sz w:val="21"/>
          <w:szCs w:val="21"/>
          <w:highlight w:val="none"/>
          <w:lang w:eastAsia="zh-CN"/>
        </w:rPr>
        <w:t>中标</w:t>
      </w:r>
      <w:r>
        <w:rPr>
          <w:rFonts w:hint="eastAsia" w:ascii="宋体" w:hAnsi="宋体" w:eastAsia="宋体" w:cs="宋体"/>
          <w:b w:val="0"/>
          <w:bCs/>
          <w:sz w:val="21"/>
          <w:szCs w:val="21"/>
          <w:highlight w:val="none"/>
        </w:rPr>
        <w:t>供应商签订书面合同。</w:t>
      </w:r>
    </w:p>
    <w:p>
      <w:pPr>
        <w:adjustRightInd w:val="0"/>
        <w:snapToGrid w:val="0"/>
        <w:spacing w:line="480" w:lineRule="exact"/>
        <w:ind w:firstLine="54" w:firstLineChars="26"/>
        <w:rPr>
          <w:rFonts w:ascii="宋体" w:hAnsi="宋体" w:cs="宋体"/>
          <w:kern w:val="0"/>
          <w:szCs w:val="21"/>
        </w:rPr>
      </w:pPr>
      <w:r>
        <w:rPr>
          <w:rFonts w:hint="eastAsia" w:ascii="宋体" w:hAnsi="宋体" w:cs="宋体"/>
          <w:kern w:val="0"/>
          <w:szCs w:val="21"/>
        </w:rPr>
        <w:t xml:space="preserve">    28.2 集采机构对未中标的投标人不作未中标原因的解释。</w:t>
      </w:r>
    </w:p>
    <w:p>
      <w:pPr>
        <w:adjustRightInd w:val="0"/>
        <w:snapToGrid w:val="0"/>
        <w:spacing w:line="480" w:lineRule="exact"/>
        <w:ind w:left="1" w:firstLine="445" w:firstLineChars="212"/>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8</w:t>
      </w:r>
      <w:r>
        <w:rPr>
          <w:rFonts w:hint="eastAsia" w:ascii="宋体" w:hAnsi="宋体" w:cs="宋体"/>
          <w:kern w:val="0"/>
          <w:szCs w:val="21"/>
        </w:rPr>
        <w:t>.</w:t>
      </w:r>
      <w:r>
        <w:rPr>
          <w:rFonts w:hint="eastAsia" w:ascii="宋体" w:hAnsi="宋体" w:cs="宋体"/>
          <w:kern w:val="0"/>
          <w:szCs w:val="21"/>
          <w:lang w:val="en-US" w:eastAsia="zh-CN"/>
        </w:rPr>
        <w:t>3</w:t>
      </w:r>
      <w:r>
        <w:rPr>
          <w:rFonts w:hint="eastAsia" w:ascii="宋体" w:hAnsi="宋体" w:cs="宋体"/>
          <w:kern w:val="0"/>
          <w:szCs w:val="21"/>
        </w:rPr>
        <w:t>中标人应按照招标文件、投标文件及评标过程中的有关澄清、说明或者补正文件的内容与采购人签订合同。中标人不得再与采购人签订背离合同实质性内容的其它协议或声明。</w:t>
      </w:r>
    </w:p>
    <w:p>
      <w:pPr>
        <w:keepNext/>
        <w:keepLines/>
        <w:adjustRightInd w:val="0"/>
        <w:spacing w:beforeLines="10" w:afterLines="10" w:line="480" w:lineRule="exact"/>
        <w:ind w:left="1805"/>
        <w:outlineLvl w:val="1"/>
        <w:rPr>
          <w:rFonts w:ascii="宋体" w:hAnsi="宋体" w:cs="宋体"/>
          <w:b/>
          <w:kern w:val="0"/>
          <w:szCs w:val="21"/>
        </w:rPr>
      </w:pPr>
      <w:r>
        <w:rPr>
          <w:rFonts w:hint="eastAsia" w:ascii="宋体" w:hAnsi="宋体" w:cs="宋体"/>
          <w:b/>
          <w:kern w:val="0"/>
          <w:szCs w:val="21"/>
        </w:rPr>
        <w:t>八、　　保密和披露</w:t>
      </w:r>
    </w:p>
    <w:p>
      <w:pPr>
        <w:spacing w:line="480" w:lineRule="exact"/>
        <w:rPr>
          <w:rFonts w:ascii="宋体" w:hAnsi="宋体" w:cs="宋体"/>
          <w:b/>
          <w:kern w:val="0"/>
          <w:szCs w:val="21"/>
        </w:rPr>
      </w:pPr>
      <w:r>
        <w:rPr>
          <w:rFonts w:hint="eastAsia" w:ascii="宋体" w:hAnsi="宋体" w:cs="宋体"/>
          <w:b/>
          <w:kern w:val="0"/>
          <w:szCs w:val="21"/>
        </w:rPr>
        <w:t xml:space="preserve">    3</w:t>
      </w:r>
      <w:r>
        <w:rPr>
          <w:rFonts w:hint="eastAsia" w:ascii="宋体" w:hAnsi="宋体" w:cs="宋体"/>
          <w:b/>
          <w:kern w:val="0"/>
          <w:szCs w:val="21"/>
          <w:lang w:val="en-US" w:eastAsia="zh-CN"/>
        </w:rPr>
        <w:t>0</w:t>
      </w:r>
      <w:r>
        <w:rPr>
          <w:rFonts w:hint="eastAsia" w:ascii="宋体" w:hAnsi="宋体" w:cs="宋体"/>
          <w:b/>
          <w:kern w:val="0"/>
          <w:szCs w:val="21"/>
        </w:rPr>
        <w:t>. 保密</w:t>
      </w:r>
    </w:p>
    <w:p>
      <w:pPr>
        <w:spacing w:line="480" w:lineRule="exact"/>
        <w:ind w:left="1" w:firstLine="25" w:firstLineChars="12"/>
        <w:rPr>
          <w:rFonts w:ascii="宋体" w:hAnsi="宋体" w:cs="宋体"/>
          <w:kern w:val="0"/>
          <w:szCs w:val="21"/>
        </w:rPr>
      </w:pPr>
      <w:r>
        <w:rPr>
          <w:rFonts w:hint="eastAsia" w:ascii="宋体" w:hAnsi="宋体" w:cs="宋体"/>
          <w:kern w:val="0"/>
          <w:szCs w:val="21"/>
        </w:rPr>
        <w:t xml:space="preserve">    投标人自领取招标文件之日起，须承诺承担本招标项目下保密义务，不得将因本次招标获得的信息向第三人外传。</w:t>
      </w:r>
    </w:p>
    <w:p>
      <w:pPr>
        <w:spacing w:line="480" w:lineRule="exact"/>
        <w:ind w:firstLine="25" w:firstLineChars="12"/>
        <w:rPr>
          <w:rFonts w:ascii="宋体" w:hAnsi="宋体" w:cs="宋体"/>
          <w:b/>
          <w:kern w:val="0"/>
          <w:szCs w:val="21"/>
        </w:rPr>
      </w:pPr>
      <w:r>
        <w:rPr>
          <w:rFonts w:hint="eastAsia" w:ascii="宋体" w:hAnsi="宋体" w:cs="宋体"/>
          <w:b/>
          <w:kern w:val="0"/>
          <w:szCs w:val="21"/>
        </w:rPr>
        <w:t xml:space="preserve">    3</w:t>
      </w:r>
      <w:r>
        <w:rPr>
          <w:rFonts w:hint="eastAsia" w:ascii="宋体" w:hAnsi="宋体" w:cs="宋体"/>
          <w:b/>
          <w:kern w:val="0"/>
          <w:szCs w:val="21"/>
          <w:lang w:val="en-US" w:eastAsia="zh-CN"/>
        </w:rPr>
        <w:t>1</w:t>
      </w:r>
      <w:r>
        <w:rPr>
          <w:rFonts w:hint="eastAsia" w:ascii="宋体" w:hAnsi="宋体" w:cs="宋体"/>
          <w:b/>
          <w:kern w:val="0"/>
          <w:szCs w:val="21"/>
        </w:rPr>
        <w:t>. 披露</w:t>
      </w:r>
    </w:p>
    <w:p>
      <w:pPr>
        <w:spacing w:line="480" w:lineRule="exact"/>
        <w:ind w:firstLine="474" w:firstLineChars="226"/>
        <w:rPr>
          <w:rFonts w:ascii="宋体" w:hAnsi="宋体" w:cs="宋体"/>
          <w:kern w:val="0"/>
          <w:szCs w:val="21"/>
        </w:rPr>
      </w:pPr>
      <w:r>
        <w:rPr>
          <w:rFonts w:hint="eastAsia" w:ascii="宋体" w:hAnsi="宋体" w:cs="宋体"/>
          <w:kern w:val="0"/>
          <w:szCs w:val="21"/>
          <w:lang w:val="en-US" w:eastAsia="zh-CN"/>
        </w:rPr>
        <w:t>31</w:t>
      </w:r>
      <w:r>
        <w:rPr>
          <w:rFonts w:hint="eastAsia" w:ascii="宋体" w:hAnsi="宋体" w:cs="宋体"/>
          <w:kern w:val="0"/>
          <w:szCs w:val="21"/>
        </w:rPr>
        <w:t>.1 集采机构有权将投标人提供的所有资料向有关政府部门或评审标书的有关人员披露。</w:t>
      </w:r>
    </w:p>
    <w:p>
      <w:pPr>
        <w:spacing w:line="480" w:lineRule="exact"/>
        <w:ind w:firstLine="474" w:firstLineChars="226"/>
        <w:rPr>
          <w:rFonts w:ascii="宋体" w:hAnsi="宋体" w:cs="宋体"/>
          <w:kern w:val="0"/>
          <w:szCs w:val="21"/>
        </w:rPr>
      </w:pPr>
      <w:r>
        <w:rPr>
          <w:rFonts w:hint="eastAsia" w:ascii="宋体" w:hAnsi="宋体" w:cs="宋体"/>
          <w:kern w:val="0"/>
          <w:szCs w:val="21"/>
        </w:rPr>
        <w:t>3</w:t>
      </w:r>
      <w:r>
        <w:rPr>
          <w:rFonts w:hint="eastAsia" w:ascii="宋体" w:hAnsi="宋体" w:cs="宋体"/>
          <w:kern w:val="0"/>
          <w:szCs w:val="21"/>
          <w:lang w:val="en-US" w:eastAsia="zh-CN"/>
        </w:rPr>
        <w:t>1</w:t>
      </w:r>
      <w:r>
        <w:rPr>
          <w:rFonts w:hint="eastAsia" w:ascii="宋体" w:hAnsi="宋体" w:cs="宋体"/>
          <w:kern w:val="0"/>
          <w:szCs w:val="21"/>
        </w:rPr>
        <w:t>.2 在集采机构认为适当时、国家机关调查、审查、审计时以及其他符合法律规定的情形下，集采机构无须事先征求投标人/中标人同意而可以披露关于采购过程、合同文本、签署情况的资料、投标人/中标人的名称及地址、投标文件的有关信息以及补充条款等，但应当在合理的必要范围内。对任何已经公布过的内容或与之内容相同的资料，以及投标人/中标人已经泄露或公开的，无须再承担保密责任。</w:t>
      </w:r>
    </w:p>
    <w:p>
      <w:pPr>
        <w:rPr>
          <w:rFonts w:ascii="宋体" w:hAnsi="宋体" w:cs="宋体"/>
          <w:kern w:val="0"/>
          <w:szCs w:val="21"/>
        </w:rPr>
      </w:pPr>
    </w:p>
    <w:p>
      <w:pPr>
        <w:keepNext/>
        <w:keepLines/>
        <w:adjustRightInd w:val="0"/>
        <w:spacing w:beforeLines="10" w:afterLines="10" w:line="480" w:lineRule="exact"/>
        <w:ind w:left="1805"/>
        <w:outlineLvl w:val="1"/>
        <w:rPr>
          <w:rFonts w:ascii="宋体" w:hAnsi="宋体" w:cs="宋体"/>
          <w:b/>
          <w:kern w:val="0"/>
          <w:szCs w:val="21"/>
        </w:rPr>
      </w:pPr>
      <w:r>
        <w:rPr>
          <w:rFonts w:hint="eastAsia" w:ascii="宋体" w:hAnsi="宋体" w:cs="宋体"/>
          <w:b/>
          <w:kern w:val="0"/>
          <w:szCs w:val="21"/>
          <w:lang w:eastAsia="zh-CN"/>
        </w:rPr>
        <w:t>九</w:t>
      </w:r>
      <w:r>
        <w:rPr>
          <w:rFonts w:hint="eastAsia" w:ascii="宋体" w:hAnsi="宋体" w:cs="宋体"/>
          <w:b/>
          <w:kern w:val="0"/>
          <w:szCs w:val="21"/>
        </w:rPr>
        <w:t>、询问和质疑</w:t>
      </w:r>
    </w:p>
    <w:p>
      <w:pPr>
        <w:pageBreakBefore w:val="0"/>
        <w:kinsoku/>
        <w:wordWrap/>
        <w:overflowPunct/>
        <w:topLinePunct w:val="0"/>
        <w:autoSpaceDE/>
        <w:autoSpaceDN/>
        <w:bidi w:val="0"/>
        <w:spacing w:line="360" w:lineRule="auto"/>
        <w:ind w:firstLine="434" w:firstLineChars="206"/>
        <w:textAlignment w:val="auto"/>
        <w:rPr>
          <w:rFonts w:ascii="宋体" w:hAnsi="宋体" w:cs="宋体"/>
          <w:b/>
          <w:kern w:val="0"/>
          <w:szCs w:val="21"/>
        </w:rPr>
      </w:pPr>
      <w:r>
        <w:rPr>
          <w:rFonts w:hint="eastAsia" w:ascii="宋体" w:hAnsi="宋体" w:cs="宋体"/>
          <w:b/>
          <w:kern w:val="0"/>
          <w:szCs w:val="21"/>
        </w:rPr>
        <w:t>3</w:t>
      </w:r>
      <w:r>
        <w:rPr>
          <w:rFonts w:hint="eastAsia" w:ascii="宋体" w:hAnsi="宋体" w:cs="宋体"/>
          <w:b/>
          <w:kern w:val="0"/>
          <w:szCs w:val="21"/>
          <w:lang w:val="en-US" w:eastAsia="zh-CN"/>
        </w:rPr>
        <w:t>2</w:t>
      </w:r>
      <w:r>
        <w:rPr>
          <w:rFonts w:hint="eastAsia" w:ascii="宋体" w:hAnsi="宋体" w:cs="宋体"/>
          <w:b/>
          <w:kern w:val="0"/>
          <w:szCs w:val="21"/>
        </w:rPr>
        <w:t>. 询问</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cs="宋体"/>
          <w:b w:val="0"/>
          <w:bCs/>
          <w:sz w:val="21"/>
          <w:szCs w:val="21"/>
          <w:lang w:val="en-US" w:eastAsia="zh-CN"/>
        </w:rPr>
        <w:t>32.1</w:t>
      </w:r>
      <w:r>
        <w:rPr>
          <w:rFonts w:hint="eastAsia" w:ascii="宋体" w:hAnsi="宋体" w:eastAsia="宋体" w:cs="宋体"/>
          <w:b w:val="0"/>
          <w:bCs/>
          <w:sz w:val="21"/>
          <w:szCs w:val="21"/>
        </w:rPr>
        <w:t>供应商对</w:t>
      </w:r>
      <w:r>
        <w:rPr>
          <w:rFonts w:hint="eastAsia" w:cs="宋体"/>
          <w:b w:val="0"/>
          <w:bCs/>
          <w:sz w:val="21"/>
          <w:szCs w:val="21"/>
          <w:lang w:eastAsia="zh-CN"/>
        </w:rPr>
        <w:t>招标文件</w:t>
      </w:r>
      <w:r>
        <w:rPr>
          <w:rFonts w:hint="eastAsia" w:ascii="宋体" w:hAnsi="宋体" w:eastAsia="宋体" w:cs="宋体"/>
          <w:b w:val="0"/>
          <w:bCs/>
          <w:sz w:val="21"/>
          <w:szCs w:val="21"/>
        </w:rPr>
        <w:t>有疑问的，可按第一部分</w:t>
      </w:r>
      <w:r>
        <w:rPr>
          <w:rFonts w:hint="eastAsia" w:cs="宋体"/>
          <w:b w:val="0"/>
          <w:bCs/>
          <w:sz w:val="21"/>
          <w:szCs w:val="21"/>
          <w:lang w:eastAsia="zh-CN"/>
        </w:rPr>
        <w:t>招标邀请</w:t>
      </w:r>
      <w:r>
        <w:rPr>
          <w:rFonts w:hint="eastAsia" w:ascii="宋体" w:hAnsi="宋体" w:eastAsia="宋体" w:cs="宋体"/>
          <w:b w:val="0"/>
          <w:bCs/>
          <w:sz w:val="21"/>
          <w:szCs w:val="21"/>
        </w:rPr>
        <w:t>中载明的联系方式、地址，口头或书面形式向集采机构、采购人提出询问；供应商进行质疑的，必须以书面形式提出质疑函。供应商对评审过程、采购结果有疑问的，可按成交公告中载明的联系方式、地址提出质疑。</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highlight w:val="none"/>
        </w:rPr>
      </w:pPr>
      <w:r>
        <w:rPr>
          <w:rFonts w:hint="eastAsia" w:cs="宋体"/>
          <w:b w:val="0"/>
          <w:bCs/>
          <w:sz w:val="21"/>
          <w:szCs w:val="21"/>
          <w:highlight w:val="none"/>
          <w:lang w:val="en-US" w:eastAsia="zh-CN"/>
        </w:rPr>
        <w:t>32</w:t>
      </w:r>
      <w:r>
        <w:rPr>
          <w:rFonts w:hint="eastAsia" w:ascii="宋体" w:hAnsi="宋体" w:eastAsia="宋体" w:cs="宋体"/>
          <w:b w:val="0"/>
          <w:bCs/>
          <w:sz w:val="21"/>
          <w:szCs w:val="21"/>
          <w:highlight w:val="none"/>
        </w:rPr>
        <w:t>.2询问事项若属于采购人提交的采购需求范畴的，询问方式为口头询问的，集采机构告知询问对象直接向采购人询问。采购人须在法定时间内向询问供应商进行答复。</w:t>
      </w:r>
    </w:p>
    <w:p>
      <w:pPr>
        <w:pageBreakBefore w:val="0"/>
        <w:kinsoku/>
        <w:wordWrap/>
        <w:overflowPunct/>
        <w:topLinePunct w:val="0"/>
        <w:autoSpaceDE/>
        <w:autoSpaceDN/>
        <w:bidi w:val="0"/>
        <w:spacing w:line="360" w:lineRule="auto"/>
        <w:ind w:firstLine="434" w:firstLineChars="206"/>
        <w:textAlignment w:val="auto"/>
        <w:rPr>
          <w:rFonts w:ascii="宋体" w:hAnsi="宋体" w:cs="宋体"/>
          <w:b/>
          <w:kern w:val="0"/>
          <w:szCs w:val="21"/>
        </w:rPr>
      </w:pPr>
      <w:r>
        <w:rPr>
          <w:rFonts w:hint="eastAsia" w:ascii="宋体" w:hAnsi="宋体" w:cs="宋体"/>
          <w:b/>
          <w:kern w:val="0"/>
          <w:szCs w:val="21"/>
        </w:rPr>
        <w:t>3</w:t>
      </w:r>
      <w:r>
        <w:rPr>
          <w:rFonts w:hint="eastAsia" w:ascii="宋体" w:hAnsi="宋体" w:cs="宋体"/>
          <w:b/>
          <w:kern w:val="0"/>
          <w:szCs w:val="21"/>
          <w:lang w:val="en-US" w:eastAsia="zh-CN"/>
        </w:rPr>
        <w:t>3</w:t>
      </w:r>
      <w:r>
        <w:rPr>
          <w:rFonts w:hint="eastAsia" w:ascii="宋体" w:hAnsi="宋体" w:cs="宋体"/>
          <w:b/>
          <w:kern w:val="0"/>
          <w:szCs w:val="21"/>
        </w:rPr>
        <w:t>. 质疑</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cs="宋体"/>
          <w:b w:val="0"/>
          <w:bCs/>
          <w:kern w:val="0"/>
          <w:sz w:val="21"/>
          <w:szCs w:val="21"/>
        </w:rPr>
        <w:t>3</w:t>
      </w:r>
      <w:r>
        <w:rPr>
          <w:rFonts w:hint="eastAsia" w:ascii="宋体" w:hAnsi="宋体" w:cs="宋体"/>
          <w:b w:val="0"/>
          <w:bCs/>
          <w:kern w:val="0"/>
          <w:sz w:val="21"/>
          <w:szCs w:val="21"/>
          <w:lang w:val="en-US" w:eastAsia="zh-CN"/>
        </w:rPr>
        <w:t>3</w:t>
      </w:r>
      <w:r>
        <w:rPr>
          <w:rFonts w:hint="eastAsia" w:ascii="宋体" w:hAnsi="宋体" w:cs="宋体"/>
          <w:b w:val="0"/>
          <w:bCs/>
          <w:kern w:val="0"/>
          <w:sz w:val="21"/>
          <w:szCs w:val="21"/>
        </w:rPr>
        <w:t xml:space="preserve">.1 </w:t>
      </w:r>
      <w:r>
        <w:rPr>
          <w:rFonts w:hint="eastAsia" w:ascii="宋体" w:hAnsi="宋体" w:eastAsia="宋体" w:cs="宋体"/>
          <w:b w:val="0"/>
          <w:bCs/>
          <w:sz w:val="21"/>
          <w:szCs w:val="21"/>
        </w:rPr>
        <w:t>质疑供应商认为</w:t>
      </w:r>
      <w:r>
        <w:rPr>
          <w:rFonts w:hint="eastAsia" w:cs="宋体"/>
          <w:b w:val="0"/>
          <w:bCs/>
          <w:sz w:val="21"/>
          <w:szCs w:val="21"/>
          <w:lang w:eastAsia="zh-CN"/>
        </w:rPr>
        <w:t>招标文件</w:t>
      </w:r>
      <w:r>
        <w:rPr>
          <w:rFonts w:hint="eastAsia" w:ascii="宋体" w:hAnsi="宋体" w:eastAsia="宋体" w:cs="宋体"/>
          <w:b w:val="0"/>
          <w:bCs/>
          <w:sz w:val="21"/>
          <w:szCs w:val="21"/>
        </w:rPr>
        <w:t>、</w:t>
      </w:r>
      <w:r>
        <w:rPr>
          <w:rFonts w:hint="eastAsia" w:cs="宋体"/>
          <w:b w:val="0"/>
          <w:bCs/>
          <w:sz w:val="21"/>
          <w:szCs w:val="21"/>
          <w:lang w:eastAsia="zh-CN"/>
        </w:rPr>
        <w:t>招标过程</w:t>
      </w:r>
      <w:r>
        <w:rPr>
          <w:rFonts w:hint="eastAsia" w:ascii="宋体" w:hAnsi="宋体" w:eastAsia="宋体" w:cs="宋体"/>
          <w:b w:val="0"/>
          <w:bCs/>
          <w:sz w:val="21"/>
          <w:szCs w:val="21"/>
        </w:rPr>
        <w:t>和采购结果使自己的权益受到损害，应当在法定质疑期限内以书面形式一次性提出针对同一采购程序环节的质疑。</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对可以质疑的</w:t>
      </w:r>
      <w:r>
        <w:rPr>
          <w:rFonts w:hint="eastAsia" w:cs="宋体"/>
          <w:b w:val="0"/>
          <w:bCs/>
          <w:sz w:val="21"/>
          <w:szCs w:val="21"/>
          <w:lang w:eastAsia="zh-CN"/>
        </w:rPr>
        <w:t>招标文件</w:t>
      </w:r>
      <w:r>
        <w:rPr>
          <w:rFonts w:hint="eastAsia" w:ascii="宋体" w:hAnsi="宋体" w:eastAsia="宋体" w:cs="宋体"/>
          <w:b w:val="0"/>
          <w:bCs/>
          <w:sz w:val="21"/>
          <w:szCs w:val="21"/>
        </w:rPr>
        <w:t>提出质疑的，在收到</w:t>
      </w:r>
      <w:r>
        <w:rPr>
          <w:rFonts w:hint="eastAsia" w:cs="宋体"/>
          <w:b w:val="0"/>
          <w:bCs/>
          <w:sz w:val="21"/>
          <w:szCs w:val="21"/>
          <w:lang w:eastAsia="zh-CN"/>
        </w:rPr>
        <w:t>招标文件</w:t>
      </w:r>
      <w:r>
        <w:rPr>
          <w:rFonts w:hint="eastAsia" w:ascii="宋体" w:hAnsi="宋体" w:eastAsia="宋体" w:cs="宋体"/>
          <w:b w:val="0"/>
          <w:bCs/>
          <w:sz w:val="21"/>
          <w:szCs w:val="21"/>
        </w:rPr>
        <w:t>之日起七个工作日内提出；</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对采购过程提出质疑的，在各采购程序环节结束之日起七个工作日内提出；</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对成交结果提出质疑的，在成交公告期限届满之日起七个工作日内提出。</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3</w:t>
      </w:r>
      <w:r>
        <w:rPr>
          <w:rFonts w:hint="eastAsia" w:cs="宋体"/>
          <w:b w:val="0"/>
          <w:bCs/>
          <w:sz w:val="21"/>
          <w:szCs w:val="21"/>
          <w:lang w:val="en-US" w:eastAsia="zh-CN"/>
        </w:rPr>
        <w:t>3</w:t>
      </w:r>
      <w:r>
        <w:rPr>
          <w:rFonts w:hint="eastAsia" w:ascii="宋体" w:hAnsi="宋体" w:eastAsia="宋体" w:cs="宋体"/>
          <w:b w:val="0"/>
          <w:bCs/>
          <w:sz w:val="21"/>
          <w:szCs w:val="21"/>
        </w:rPr>
        <w:t>.2 质疑供应商质疑时须携带以下资料各2份：法定代表人身份证明书原件；法定代表人授权委托书原件（内容包括：代理人的姓名或者名称、代理事项、具体权限、期限和相关事项。法定代表人质疑时不提供此项内容。）；委托人和被委托人的身份证复印件；质疑供应商领取采购文件时间的证明材料；质疑函原件。供应商提出质疑应当提交质疑函和必要的证明材料。</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供应商为自然人的，应当由本人签字；供应商为法人或者其他组织的，应当由法定代表人、主要负责人签字或者盖章，并加盖公章。</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质疑函内容包括：</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A.供应商的姓名或者名称、地址、邮编、联系人及联系电话；</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B.质疑项目的名称、编号；</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C.具体、明确的质疑事项和与质疑事项相关的请求；</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D.事实依据；</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E.必要的法律依据；</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F.提出质疑的日期。</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color w:val="000000"/>
          <w:sz w:val="21"/>
          <w:szCs w:val="21"/>
        </w:rPr>
      </w:pPr>
      <w:r>
        <w:rPr>
          <w:rFonts w:hint="eastAsia" w:ascii="宋体" w:hAnsi="宋体" w:eastAsia="宋体" w:cs="宋体"/>
          <w:b w:val="0"/>
          <w:bCs/>
          <w:sz w:val="21"/>
          <w:szCs w:val="21"/>
        </w:rPr>
        <w:t>3</w:t>
      </w:r>
      <w:r>
        <w:rPr>
          <w:rFonts w:hint="eastAsia" w:cs="宋体"/>
          <w:b w:val="0"/>
          <w:bCs/>
          <w:sz w:val="21"/>
          <w:szCs w:val="21"/>
          <w:lang w:val="en-US" w:eastAsia="zh-CN"/>
        </w:rPr>
        <w:t>3</w:t>
      </w:r>
      <w:r>
        <w:rPr>
          <w:rFonts w:hint="eastAsia" w:ascii="宋体" w:hAnsi="宋体" w:eastAsia="宋体" w:cs="宋体"/>
          <w:b w:val="0"/>
          <w:bCs/>
          <w:sz w:val="21"/>
          <w:szCs w:val="21"/>
        </w:rPr>
        <w:t>.3</w:t>
      </w:r>
      <w:r>
        <w:rPr>
          <w:rFonts w:hint="eastAsia" w:ascii="宋体" w:hAnsi="宋体" w:eastAsia="宋体" w:cs="宋体"/>
          <w:b w:val="0"/>
          <w:bCs/>
          <w:color w:val="000000"/>
          <w:sz w:val="21"/>
          <w:szCs w:val="21"/>
        </w:rPr>
        <w:t>对采购文件编制内容（不包括采购需求）、评审过程、采购结果提出质疑的，由集采机构进行答复。</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对采购文件编制内容（不包括采购需求）提出质疑的，请按本文件第一部分投标邀请“</w:t>
      </w:r>
      <w:r>
        <w:rPr>
          <w:rFonts w:hint="eastAsia" w:cs="宋体"/>
          <w:b w:val="0"/>
          <w:bCs/>
          <w:color w:val="000000"/>
          <w:sz w:val="21"/>
          <w:szCs w:val="21"/>
          <w:lang w:eastAsia="zh-CN"/>
        </w:rPr>
        <w:t>八</w:t>
      </w:r>
      <w:r>
        <w:rPr>
          <w:rFonts w:hint="eastAsia" w:ascii="宋体" w:hAnsi="宋体" w:eastAsia="宋体" w:cs="宋体"/>
          <w:b w:val="0"/>
          <w:bCs/>
          <w:color w:val="000000"/>
          <w:sz w:val="21"/>
          <w:szCs w:val="21"/>
        </w:rPr>
        <w:t>、集采机构基本信息”中载明的单位名称、地址、联系人、联系方式进行沟通联系。</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对评审过程、采购结果提出质疑的，请按结果公告中载明的联系人、联系方式进行沟通联系，并提交</w:t>
      </w:r>
    </w:p>
    <w:p>
      <w:pPr>
        <w:pStyle w:val="106"/>
        <w:pageBreakBefore w:val="0"/>
        <w:kinsoku/>
        <w:wordWrap/>
        <w:overflowPunct/>
        <w:topLinePunct w:val="0"/>
        <w:autoSpaceDE/>
        <w:autoSpaceDN/>
        <w:bidi w:val="0"/>
        <w:snapToGrid w:val="0"/>
        <w:spacing w:line="360" w:lineRule="auto"/>
        <w:ind w:left="0" w:leftChars="0" w:firstLine="0" w:firstLineChars="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 xml:space="preserve"> 3</w:t>
      </w:r>
      <w:r>
        <w:rPr>
          <w:rFonts w:hint="eastAsia" w:cs="宋体"/>
          <w:b w:val="0"/>
          <w:bCs/>
          <w:color w:val="000000"/>
          <w:sz w:val="21"/>
          <w:szCs w:val="21"/>
          <w:lang w:val="en-US" w:eastAsia="zh-CN"/>
        </w:rPr>
        <w:t>3</w:t>
      </w:r>
      <w:r>
        <w:rPr>
          <w:rFonts w:hint="eastAsia" w:ascii="宋体" w:hAnsi="宋体" w:eastAsia="宋体" w:cs="宋体"/>
          <w:b w:val="0"/>
          <w:bCs/>
          <w:color w:val="000000"/>
          <w:sz w:val="21"/>
          <w:szCs w:val="21"/>
          <w:lang w:val="en-US" w:eastAsia="zh-CN"/>
        </w:rPr>
        <w:t>.</w:t>
      </w:r>
      <w:r>
        <w:rPr>
          <w:rFonts w:hint="eastAsia" w:cs="宋体"/>
          <w:b w:val="0"/>
          <w:bCs/>
          <w:color w:val="000000"/>
          <w:sz w:val="21"/>
          <w:szCs w:val="21"/>
          <w:lang w:val="en-US" w:eastAsia="zh-CN"/>
        </w:rPr>
        <w:t>2</w:t>
      </w:r>
      <w:r>
        <w:rPr>
          <w:rFonts w:hint="eastAsia" w:ascii="宋体" w:hAnsi="宋体" w:eastAsia="宋体" w:cs="宋体"/>
          <w:b w:val="0"/>
          <w:bCs/>
          <w:color w:val="000000"/>
          <w:sz w:val="21"/>
          <w:szCs w:val="21"/>
        </w:rPr>
        <w:t>要求提交的相关资料。</w:t>
      </w:r>
    </w:p>
    <w:p>
      <w:pPr>
        <w:pStyle w:val="106"/>
        <w:pageBreakBefore w:val="0"/>
        <w:kinsoku/>
        <w:wordWrap/>
        <w:overflowPunct/>
        <w:topLinePunct w:val="0"/>
        <w:autoSpaceDE/>
        <w:autoSpaceDN/>
        <w:bidi w:val="0"/>
        <w:snapToGrid w:val="0"/>
        <w:spacing w:line="360" w:lineRule="auto"/>
        <w:ind w:left="0" w:leftChars="0" w:firstLine="420" w:firstLineChars="20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对采购文件中采购需求提出质疑的，向采购人提出质疑。</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3</w:t>
      </w:r>
      <w:r>
        <w:rPr>
          <w:rFonts w:hint="eastAsia" w:cs="宋体"/>
          <w:b w:val="0"/>
          <w:bCs/>
          <w:sz w:val="21"/>
          <w:szCs w:val="21"/>
          <w:lang w:val="en-US" w:eastAsia="zh-CN"/>
        </w:rPr>
        <w:t>3</w:t>
      </w:r>
      <w:r>
        <w:rPr>
          <w:rFonts w:hint="eastAsia" w:ascii="宋体" w:hAnsi="宋体" w:eastAsia="宋体" w:cs="宋体"/>
          <w:b w:val="0"/>
          <w:bCs/>
          <w:sz w:val="21"/>
          <w:szCs w:val="21"/>
        </w:rPr>
        <w:t>.</w:t>
      </w:r>
      <w:r>
        <w:rPr>
          <w:rFonts w:hint="eastAsia" w:cs="宋体"/>
          <w:b w:val="0"/>
          <w:bCs/>
          <w:sz w:val="21"/>
          <w:szCs w:val="21"/>
          <w:lang w:val="en-US" w:eastAsia="zh-CN"/>
        </w:rPr>
        <w:t>4</w:t>
      </w:r>
      <w:r>
        <w:rPr>
          <w:rFonts w:hint="eastAsia" w:ascii="宋体" w:hAnsi="宋体" w:eastAsia="宋体" w:cs="宋体"/>
          <w:b w:val="0"/>
          <w:bCs/>
          <w:sz w:val="21"/>
          <w:szCs w:val="21"/>
        </w:rPr>
        <w:t>集采机构、采购人将依据《中华人民共和国政府采购法实施条例》第五十二条第一款的规定时限对</w:t>
      </w:r>
      <w:r>
        <w:rPr>
          <w:rFonts w:hint="eastAsia" w:cs="宋体"/>
          <w:b w:val="0"/>
          <w:bCs/>
          <w:sz w:val="21"/>
          <w:szCs w:val="21"/>
          <w:lang w:eastAsia="zh-CN"/>
        </w:rPr>
        <w:t>投标</w:t>
      </w:r>
      <w:r>
        <w:rPr>
          <w:rFonts w:hint="eastAsia" w:ascii="宋体" w:hAnsi="宋体" w:eastAsia="宋体" w:cs="宋体"/>
          <w:b w:val="0"/>
          <w:bCs/>
          <w:sz w:val="21"/>
          <w:szCs w:val="21"/>
        </w:rPr>
        <w:t>供应商的询问、质疑做出处理和答复。</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质疑答复应当包括下列内容：</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A.质疑供应商的姓名或者名称；</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B.收到质疑函的日期、质疑项目名称及编号；</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C.质疑事项、质疑答复的具体内容、事实依据和法律依据；</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D.告知质疑供应商依法投诉的权利；</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E.质疑答复人名称；</w:t>
      </w:r>
    </w:p>
    <w:p>
      <w:pPr>
        <w:pStyle w:val="106"/>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F.答复质疑的日期。质疑答复的内容不得涉及商业秘密。</w:t>
      </w:r>
    </w:p>
    <w:p>
      <w:pPr>
        <w:pStyle w:val="106"/>
        <w:pageBreakBefore w:val="0"/>
        <w:kinsoku/>
        <w:wordWrap/>
        <w:overflowPunct/>
        <w:topLinePunct w:val="0"/>
        <w:autoSpaceDE/>
        <w:autoSpaceDN/>
        <w:bidi w:val="0"/>
        <w:snapToGrid w:val="0"/>
        <w:spacing w:line="360" w:lineRule="auto"/>
        <w:ind w:firstLine="420" w:firstLineChars="200"/>
        <w:textAlignment w:val="auto"/>
        <w:rPr>
          <w:rFonts w:ascii="宋体" w:hAnsi="宋体" w:cs="宋体"/>
          <w:kern w:val="0"/>
          <w:szCs w:val="21"/>
        </w:rPr>
      </w:pPr>
      <w:r>
        <w:rPr>
          <w:rFonts w:hint="eastAsia" w:ascii="宋体" w:hAnsi="宋体" w:eastAsia="宋体" w:cs="宋体"/>
          <w:b w:val="0"/>
          <w:bCs/>
          <w:sz w:val="21"/>
          <w:szCs w:val="21"/>
        </w:rPr>
        <w:t>3</w:t>
      </w:r>
      <w:r>
        <w:rPr>
          <w:rFonts w:hint="eastAsia" w:cs="宋体"/>
          <w:b w:val="0"/>
          <w:bCs/>
          <w:sz w:val="21"/>
          <w:szCs w:val="21"/>
          <w:lang w:val="en-US" w:eastAsia="zh-CN"/>
        </w:rPr>
        <w:t>3</w:t>
      </w:r>
      <w:r>
        <w:rPr>
          <w:rFonts w:hint="eastAsia" w:ascii="宋体" w:hAnsi="宋体" w:eastAsia="宋体" w:cs="宋体"/>
          <w:b w:val="0"/>
          <w:bCs/>
          <w:sz w:val="21"/>
          <w:szCs w:val="21"/>
        </w:rPr>
        <w:t>.</w:t>
      </w:r>
      <w:r>
        <w:rPr>
          <w:rFonts w:hint="eastAsia" w:cs="宋体"/>
          <w:b w:val="0"/>
          <w:bCs/>
          <w:sz w:val="21"/>
          <w:szCs w:val="21"/>
          <w:lang w:val="en-US" w:eastAsia="zh-CN"/>
        </w:rPr>
        <w:t>6</w:t>
      </w:r>
      <w:r>
        <w:rPr>
          <w:rFonts w:hint="eastAsia" w:ascii="宋体" w:hAnsi="宋体" w:eastAsia="宋体" w:cs="宋体"/>
          <w:b w:val="0"/>
          <w:bCs/>
          <w:sz w:val="21"/>
          <w:szCs w:val="21"/>
        </w:rPr>
        <w:t>质疑供应商撤回质疑的，终止质疑处理。</w:t>
      </w:r>
    </w:p>
    <w:p>
      <w:pPr>
        <w:keepNext/>
        <w:keepLines/>
        <w:pageBreakBefore/>
        <w:adjustRightInd w:val="0"/>
        <w:snapToGrid w:val="0"/>
        <w:jc w:val="center"/>
        <w:outlineLvl w:val="0"/>
        <w:rPr>
          <w:rFonts w:ascii="宋体" w:cs="宋体"/>
          <w:b/>
          <w:bCs/>
          <w:spacing w:val="20"/>
          <w:kern w:val="44"/>
          <w:sz w:val="24"/>
        </w:rPr>
      </w:pPr>
      <w:r>
        <w:rPr>
          <w:rFonts w:hint="eastAsia" w:ascii="宋体" w:hAnsi="宋体" w:cs="宋体"/>
          <w:b/>
          <w:bCs/>
          <w:spacing w:val="20"/>
          <w:kern w:val="44"/>
          <w:sz w:val="24"/>
        </w:rPr>
        <w:t>第四部分商务</w:t>
      </w:r>
      <w:r>
        <w:rPr>
          <w:rFonts w:hint="eastAsia" w:ascii="宋体" w:hAnsi="宋体" w:cs="Dotum"/>
          <w:b/>
          <w:bCs/>
          <w:spacing w:val="20"/>
          <w:kern w:val="44"/>
          <w:sz w:val="24"/>
        </w:rPr>
        <w:t>、技</w:t>
      </w:r>
      <w:r>
        <w:rPr>
          <w:rFonts w:hint="eastAsia" w:ascii="宋体" w:hAnsi="宋体" w:cs="宋体"/>
          <w:b/>
          <w:bCs/>
          <w:spacing w:val="20"/>
          <w:kern w:val="44"/>
          <w:sz w:val="24"/>
        </w:rPr>
        <w:t>术</w:t>
      </w:r>
      <w:r>
        <w:rPr>
          <w:rFonts w:hint="eastAsia" w:ascii="宋体" w:hAnsi="宋体" w:cs="Dotum"/>
          <w:b/>
          <w:bCs/>
          <w:spacing w:val="20"/>
          <w:kern w:val="44"/>
          <w:sz w:val="24"/>
        </w:rPr>
        <w:t>要求</w:t>
      </w:r>
      <w:bookmarkEnd w:id="11"/>
    </w:p>
    <w:p>
      <w:pPr>
        <w:numPr>
          <w:ilvl w:val="0"/>
          <w:numId w:val="6"/>
        </w:numPr>
        <w:spacing w:line="600" w:lineRule="exact"/>
        <w:ind w:firstLine="542" w:firstLineChars="216"/>
        <w:rPr>
          <w:rFonts w:hint="eastAsia" w:ascii="宋体" w:hAnsi="宋体" w:eastAsia="宋体" w:cs="宋体"/>
          <w:b/>
          <w:bCs w:val="0"/>
          <w:spacing w:val="20"/>
          <w:sz w:val="21"/>
          <w:szCs w:val="21"/>
          <w:lang w:eastAsia="zh-CN"/>
        </w:rPr>
      </w:pPr>
      <w:r>
        <w:rPr>
          <w:rFonts w:hint="eastAsia" w:ascii="宋体" w:hAnsi="宋体" w:eastAsia="宋体" w:cs="宋体"/>
          <w:b/>
          <w:bCs w:val="0"/>
          <w:spacing w:val="20"/>
          <w:sz w:val="21"/>
          <w:szCs w:val="21"/>
          <w:lang w:eastAsia="zh-CN"/>
        </w:rPr>
        <w:t>项目概况</w:t>
      </w:r>
    </w:p>
    <w:p>
      <w:pPr>
        <w:spacing w:line="360" w:lineRule="auto"/>
        <w:ind w:firstLine="420" w:firstLineChars="200"/>
        <w:rPr>
          <w:rFonts w:hint="eastAsia" w:ascii="宋体" w:hAnsi="宋体" w:eastAsia="宋体" w:cs="宋体"/>
          <w:sz w:val="21"/>
          <w:szCs w:val="21"/>
          <w:lang w:val="en-US" w:eastAsia="zh-CN"/>
        </w:rPr>
      </w:pPr>
      <w:r>
        <w:rPr>
          <w:rFonts w:hint="eastAsia"/>
          <w:lang w:val="en-US" w:eastAsia="zh-CN"/>
        </w:rPr>
        <w:t>阳泉市第十一中学校理化生实验室仪器设备购置。（具体见需求技术书）</w:t>
      </w:r>
    </w:p>
    <w:p>
      <w:pPr>
        <w:pStyle w:val="51"/>
        <w:keepNext w:val="0"/>
        <w:keepLines w:val="0"/>
        <w:pageBreakBefore w:val="0"/>
        <w:kinsoku/>
        <w:wordWrap/>
        <w:overflowPunct/>
        <w:topLinePunct w:val="0"/>
        <w:autoSpaceDE/>
        <w:autoSpaceDN/>
        <w:bidi w:val="0"/>
        <w:adjustRightInd/>
        <w:snapToGrid/>
        <w:spacing w:line="360" w:lineRule="auto"/>
        <w:ind w:left="0" w:leftChars="0" w:firstLine="422"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bCs/>
          <w:sz w:val="21"/>
          <w:szCs w:val="21"/>
          <w:lang w:val="en-US" w:eastAsia="zh-CN"/>
        </w:rPr>
        <w:t>二、</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商务要求：</w:t>
      </w:r>
    </w:p>
    <w:p>
      <w:pPr>
        <w:spacing w:line="360" w:lineRule="auto"/>
        <w:ind w:firstLine="500" w:firstLineChars="200"/>
        <w:rPr>
          <w:rFonts w:hint="eastAsia" w:ascii="宋体" w:hAnsi="宋体" w:eastAsia="宋体" w:cs="宋体"/>
          <w:b w:val="0"/>
          <w:bCs/>
          <w:spacing w:val="20"/>
          <w:sz w:val="21"/>
          <w:szCs w:val="21"/>
        </w:rPr>
      </w:pPr>
      <w:r>
        <w:rPr>
          <w:rFonts w:hint="eastAsia" w:ascii="宋体" w:hAnsi="宋体" w:eastAsia="宋体" w:cs="宋体"/>
          <w:b w:val="0"/>
          <w:bCs w:val="0"/>
          <w:spacing w:val="20"/>
          <w:sz w:val="21"/>
          <w:szCs w:val="21"/>
          <w:lang w:val="en-US" w:eastAsia="zh-CN"/>
        </w:rPr>
        <w:t>1、</w:t>
      </w:r>
      <w:r>
        <w:rPr>
          <w:rFonts w:hint="eastAsia" w:ascii="宋体" w:hAnsi="宋体" w:eastAsia="宋体" w:cs="宋体"/>
          <w:b w:val="0"/>
          <w:bCs w:val="0"/>
          <w:spacing w:val="20"/>
          <w:sz w:val="21"/>
          <w:szCs w:val="21"/>
        </w:rPr>
        <w:t>交货时间：</w:t>
      </w:r>
      <w:r>
        <w:rPr>
          <w:rFonts w:hint="default"/>
          <w:lang w:val="en-US" w:eastAsia="zh-CN"/>
        </w:rPr>
        <w:t>自合同签订之日起 30 个工作日内完成运输、安装、调试、培训，达到验收标准。</w:t>
      </w:r>
    </w:p>
    <w:p>
      <w:pPr>
        <w:keepNext w:val="0"/>
        <w:keepLines w:val="0"/>
        <w:pageBreakBefore w:val="0"/>
        <w:kinsoku/>
        <w:wordWrap/>
        <w:overflowPunct/>
        <w:topLinePunct w:val="0"/>
        <w:autoSpaceDE/>
        <w:autoSpaceDN/>
        <w:bidi w:val="0"/>
        <w:adjustRightInd/>
        <w:snapToGrid/>
        <w:spacing w:line="360" w:lineRule="auto"/>
        <w:ind w:left="479" w:leftChars="228" w:firstLine="37" w:firstLineChars="15"/>
        <w:textAlignment w:val="auto"/>
        <w:rPr>
          <w:rFonts w:hint="eastAsia" w:ascii="宋体" w:hAnsi="宋体" w:eastAsia="宋体" w:cs="宋体"/>
          <w:b w:val="0"/>
          <w:bCs/>
          <w:spacing w:val="20"/>
          <w:sz w:val="21"/>
          <w:szCs w:val="21"/>
          <w:lang w:val="en-US" w:eastAsia="zh-CN"/>
        </w:rPr>
      </w:pPr>
      <w:r>
        <w:rPr>
          <w:rFonts w:hint="eastAsia" w:ascii="宋体" w:hAnsi="宋体" w:eastAsia="宋体" w:cs="宋体"/>
          <w:b w:val="0"/>
          <w:bCs/>
          <w:spacing w:val="20"/>
          <w:sz w:val="21"/>
          <w:szCs w:val="21"/>
          <w:lang w:val="en-US" w:eastAsia="zh-CN"/>
        </w:rPr>
        <w:t>2、</w:t>
      </w:r>
      <w:r>
        <w:rPr>
          <w:rFonts w:hint="eastAsia" w:ascii="宋体" w:hAnsi="宋体" w:eastAsia="宋体" w:cs="宋体"/>
          <w:b w:val="0"/>
          <w:bCs/>
          <w:spacing w:val="20"/>
          <w:sz w:val="21"/>
          <w:szCs w:val="21"/>
        </w:rPr>
        <w:t>交货及施工地点：</w:t>
      </w:r>
      <w:r>
        <w:rPr>
          <w:rFonts w:hint="eastAsia" w:ascii="宋体" w:hAnsi="宋体" w:cs="宋体"/>
          <w:b w:val="0"/>
          <w:bCs/>
          <w:spacing w:val="20"/>
          <w:sz w:val="21"/>
          <w:szCs w:val="21"/>
          <w:lang w:eastAsia="zh-CN"/>
        </w:rPr>
        <w:t>阳泉市第十一中学校高中部</w:t>
      </w:r>
      <w:r>
        <w:rPr>
          <w:rFonts w:hint="eastAsia" w:ascii="宋体" w:hAnsi="宋体" w:eastAsia="宋体" w:cs="宋体"/>
          <w:b w:val="0"/>
          <w:bCs/>
          <w:spacing w:val="20"/>
          <w:sz w:val="21"/>
          <w:szCs w:val="21"/>
          <w:lang w:eastAsia="zh-CN"/>
        </w:rPr>
        <w:t>指定地点</w:t>
      </w:r>
      <w:r>
        <w:rPr>
          <w:rFonts w:hint="eastAsia" w:ascii="宋体" w:hAnsi="宋体" w:eastAsia="宋体" w:cs="宋体"/>
          <w:b w:val="0"/>
          <w:bCs/>
          <w:spacing w:val="20"/>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540" w:firstLineChars="216"/>
        <w:textAlignment w:val="auto"/>
        <w:rPr>
          <w:rFonts w:hint="eastAsia" w:ascii="宋体" w:hAnsi="宋体" w:eastAsia="宋体" w:cs="宋体"/>
          <w:b w:val="0"/>
          <w:bCs/>
          <w:spacing w:val="20"/>
          <w:sz w:val="21"/>
          <w:szCs w:val="21"/>
          <w:lang w:eastAsia="zh-CN"/>
        </w:rPr>
      </w:pPr>
      <w:r>
        <w:rPr>
          <w:rFonts w:hint="eastAsia" w:ascii="宋体" w:hAnsi="宋体" w:eastAsia="宋体" w:cs="宋体"/>
          <w:b w:val="0"/>
          <w:bCs/>
          <w:spacing w:val="20"/>
          <w:sz w:val="21"/>
          <w:szCs w:val="21"/>
          <w:lang w:val="en-US" w:eastAsia="zh-CN"/>
        </w:rPr>
        <w:t>3、</w:t>
      </w:r>
      <w:r>
        <w:rPr>
          <w:rFonts w:hint="eastAsia" w:ascii="宋体" w:hAnsi="宋体" w:eastAsia="宋体" w:cs="宋体"/>
          <w:b w:val="0"/>
          <w:bCs/>
          <w:spacing w:val="20"/>
          <w:sz w:val="21"/>
          <w:szCs w:val="21"/>
        </w:rPr>
        <w:t>付款方式：</w:t>
      </w:r>
      <w:r>
        <w:rPr>
          <w:rFonts w:hint="eastAsia" w:ascii="宋体" w:hAnsi="宋体" w:cs="宋体"/>
          <w:b w:val="0"/>
          <w:bCs/>
          <w:spacing w:val="20"/>
          <w:sz w:val="21"/>
          <w:szCs w:val="21"/>
          <w:lang w:eastAsia="zh-CN"/>
        </w:rPr>
        <w:t>项</w:t>
      </w:r>
      <w:r>
        <w:rPr>
          <w:rFonts w:hint="eastAsia" w:ascii="宋体" w:hAnsi="宋体" w:eastAsia="宋体" w:cs="宋体"/>
          <w:b w:val="0"/>
          <w:bCs/>
          <w:spacing w:val="20"/>
          <w:sz w:val="21"/>
          <w:szCs w:val="21"/>
          <w:lang w:eastAsia="zh-CN"/>
        </w:rPr>
        <w:t>目</w:t>
      </w:r>
      <w:r>
        <w:rPr>
          <w:rFonts w:hint="eastAsia" w:ascii="宋体" w:hAnsi="宋体" w:eastAsia="宋体" w:cs="宋体"/>
          <w:b w:val="0"/>
          <w:bCs/>
          <w:spacing w:val="20"/>
          <w:sz w:val="21"/>
          <w:szCs w:val="21"/>
        </w:rPr>
        <w:t>验收合格后一次性付清。</w:t>
      </w:r>
    </w:p>
    <w:p>
      <w:pPr>
        <w:pStyle w:val="52"/>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highlight w:val="none"/>
        </w:rPr>
        <w:t>4、履约保证金：</w:t>
      </w:r>
      <w:r>
        <w:rPr>
          <w:rFonts w:hint="eastAsia" w:ascii="宋体" w:hAnsi="宋体" w:eastAsia="宋体" w:cs="宋体"/>
          <w:sz w:val="21"/>
          <w:szCs w:val="21"/>
          <w:highlight w:val="none"/>
          <w:lang w:eastAsia="zh-CN"/>
        </w:rPr>
        <w:t>本项目不缴纳履约保证金。</w:t>
      </w:r>
    </w:p>
    <w:p>
      <w:pPr>
        <w:pStyle w:val="15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 xml:space="preserve"> 5、</w:t>
      </w:r>
      <w:r>
        <w:rPr>
          <w:rFonts w:hint="eastAsia" w:ascii="宋体" w:hAnsi="宋体" w:eastAsia="宋体" w:cs="宋体"/>
          <w:b w:val="0"/>
          <w:bCs/>
          <w:spacing w:val="20"/>
          <w:sz w:val="21"/>
          <w:szCs w:val="21"/>
        </w:rPr>
        <w:t>售后服务：免费质保期</w:t>
      </w:r>
      <w:r>
        <w:rPr>
          <w:rFonts w:hint="eastAsia" w:ascii="宋体" w:hAnsi="宋体" w:cs="宋体"/>
          <w:b w:val="0"/>
          <w:bCs/>
          <w:spacing w:val="20"/>
          <w:sz w:val="21"/>
          <w:szCs w:val="21"/>
          <w:lang w:eastAsia="zh-CN"/>
        </w:rPr>
        <w:t>一</w:t>
      </w:r>
      <w:r>
        <w:rPr>
          <w:rFonts w:hint="eastAsia" w:ascii="宋体" w:hAnsi="宋体" w:eastAsia="宋体" w:cs="宋体"/>
          <w:b w:val="0"/>
          <w:bCs/>
          <w:spacing w:val="20"/>
          <w:sz w:val="21"/>
          <w:szCs w:val="21"/>
        </w:rPr>
        <w:t>年。</w:t>
      </w:r>
    </w:p>
    <w:p>
      <w:pPr>
        <w:pStyle w:val="51"/>
        <w:keepNext w:val="0"/>
        <w:keepLines w:val="0"/>
        <w:pageBreakBefore w:val="0"/>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三、</w:t>
      </w:r>
      <w:r>
        <w:rPr>
          <w:rFonts w:hint="eastAsia" w:ascii="宋体" w:hAnsi="宋体" w:eastAsia="宋体" w:cs="宋体"/>
          <w:b/>
          <w:bCs/>
          <w:sz w:val="21"/>
          <w:szCs w:val="21"/>
        </w:rPr>
        <w:t>★</w:t>
      </w:r>
      <w:r>
        <w:rPr>
          <w:rFonts w:hint="eastAsia" w:ascii="宋体" w:hAnsi="宋体" w:eastAsia="宋体" w:cs="宋体"/>
          <w:b/>
          <w:bCs/>
          <w:sz w:val="21"/>
          <w:szCs w:val="21"/>
          <w:highlight w:val="none"/>
          <w:lang w:val="en-US" w:eastAsia="zh-CN"/>
        </w:rPr>
        <w:t>实质性要求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sz w:val="21"/>
          <w:szCs w:val="21"/>
          <w:lang w:val="en-US" w:eastAsia="zh-CN"/>
        </w:rPr>
        <w:t>1、投标函</w:t>
      </w:r>
      <w:r>
        <w:rPr>
          <w:rFonts w:hint="eastAsia" w:ascii="宋体" w:hAnsi="宋体" w:eastAsia="宋体" w:cs="宋体"/>
          <w:sz w:val="21"/>
          <w:szCs w:val="21"/>
          <w:lang w:eastAsia="zh-CN"/>
        </w:rPr>
        <w:t>（格式见第八部分。</w:t>
      </w:r>
      <w:r>
        <w:rPr>
          <w:rFonts w:hint="eastAsia" w:ascii="宋体" w:hAnsi="宋体" w:eastAsia="宋体" w:cs="宋体"/>
          <w:sz w:val="21"/>
          <w:szCs w:val="21"/>
        </w:rPr>
        <w:t>在</w:t>
      </w:r>
      <w:r>
        <w:rPr>
          <w:rFonts w:hint="eastAsia" w:ascii="宋体" w:hAnsi="宋体" w:eastAsia="宋体" w:cs="宋体"/>
          <w:sz w:val="21"/>
          <w:szCs w:val="21"/>
          <w:lang w:eastAsia="zh-CN"/>
        </w:rPr>
        <w:t>投标</w:t>
      </w:r>
      <w:r>
        <w:rPr>
          <w:rFonts w:hint="eastAsia" w:ascii="宋体" w:hAnsi="宋体" w:eastAsia="宋体" w:cs="宋体"/>
          <w:sz w:val="21"/>
          <w:szCs w:val="21"/>
        </w:rPr>
        <w:t>函中除可填报项目有关内容外，对</w:t>
      </w:r>
      <w:r>
        <w:rPr>
          <w:rFonts w:hint="eastAsia" w:ascii="宋体" w:hAnsi="宋体" w:eastAsia="宋体" w:cs="宋体"/>
          <w:sz w:val="21"/>
          <w:szCs w:val="21"/>
          <w:lang w:eastAsia="zh-CN"/>
        </w:rPr>
        <w:t>投标</w:t>
      </w:r>
      <w:r>
        <w:rPr>
          <w:rFonts w:hint="eastAsia" w:ascii="宋体" w:hAnsi="宋体" w:eastAsia="宋体" w:cs="宋体"/>
          <w:sz w:val="21"/>
          <w:szCs w:val="21"/>
        </w:rPr>
        <w:t>函的任何实质性修改将导致报价无效）；</w:t>
      </w:r>
    </w:p>
    <w:p>
      <w:pPr>
        <w:keepNext w:val="0"/>
        <w:keepLines w:val="0"/>
        <w:pageBreakBefore w:val="0"/>
        <w:kinsoku/>
        <w:wordWrap/>
        <w:overflowPunct/>
        <w:topLinePunct w:val="0"/>
        <w:autoSpaceDE/>
        <w:autoSpaceDN/>
        <w:bidi w:val="0"/>
        <w:adjustRightInd/>
        <w:snapToGrid/>
        <w:spacing w:line="360" w:lineRule="auto"/>
        <w:ind w:left="63" w:leftChars="3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2、主要</w:t>
      </w:r>
      <w:r>
        <w:rPr>
          <w:rFonts w:hint="eastAsia" w:ascii="宋体" w:hAnsi="宋体" w:eastAsia="宋体" w:cs="宋体"/>
          <w:sz w:val="21"/>
          <w:szCs w:val="21"/>
          <w:lang w:eastAsia="zh-CN"/>
        </w:rPr>
        <w:t>产品</w:t>
      </w:r>
      <w:r>
        <w:rPr>
          <w:rFonts w:hint="eastAsia" w:ascii="宋体" w:hAnsi="宋体" w:eastAsia="宋体" w:cs="宋体"/>
          <w:sz w:val="21"/>
          <w:szCs w:val="21"/>
        </w:rPr>
        <w:t>技术指标和运行性能的详细描述；</w:t>
      </w:r>
      <w:r>
        <w:rPr>
          <w:rFonts w:hint="eastAsia" w:ascii="宋体" w:hAnsi="宋体" w:eastAsia="宋体" w:cs="宋体"/>
          <w:sz w:val="21"/>
          <w:szCs w:val="21"/>
          <w:lang w:eastAsia="zh-CN"/>
        </w:rPr>
        <w:t>（格式自定）</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、技术规范响应及偏离表；有正偏离项的须附质检部门的检验报告，否则不予确认；本表须根据</w:t>
      </w:r>
      <w:r>
        <w:rPr>
          <w:rFonts w:hint="eastAsia" w:ascii="宋体" w:hAnsi="宋体" w:eastAsia="宋体" w:cs="宋体"/>
          <w:sz w:val="21"/>
          <w:szCs w:val="21"/>
          <w:lang w:eastAsia="zh-CN"/>
        </w:rPr>
        <w:t>招标</w:t>
      </w:r>
      <w:r>
        <w:rPr>
          <w:rFonts w:hint="eastAsia" w:ascii="宋体" w:hAnsi="宋体" w:eastAsia="宋体" w:cs="宋体"/>
          <w:sz w:val="21"/>
          <w:szCs w:val="21"/>
        </w:rPr>
        <w:t>文件中的技术要求逐项如实填写所投产品的技术参数，否则视为非实质性响应;</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技术要求</w:t>
      </w:r>
    </w:p>
    <w:p>
      <w:pPr>
        <w:pStyle w:val="3"/>
        <w:keepNext w:val="0"/>
        <w:keepLines w:val="0"/>
        <w:pageBreakBefore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 xml:space="preserve">  </w:t>
      </w:r>
      <w:r>
        <w:rPr>
          <w:rFonts w:hint="eastAsia" w:ascii="宋体" w:hAnsi="宋体" w:eastAsia="宋体" w:cs="宋体"/>
          <w:kern w:val="2"/>
          <w:sz w:val="21"/>
          <w:szCs w:val="21"/>
          <w:lang w:val="en-US" w:eastAsia="zh-CN" w:bidi="ar-SA"/>
        </w:rPr>
        <w:t xml:space="preserve"> 具体内容：详见本部分技术需求书。</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非实质性要求</w:t>
      </w:r>
    </w:p>
    <w:p>
      <w:pPr>
        <w:pStyle w:val="26"/>
        <w:keepNext w:val="0"/>
        <w:keepLines w:val="0"/>
        <w:pageBreakBefore w:val="0"/>
        <w:numPr>
          <w:ilvl w:val="0"/>
          <w:numId w:val="0"/>
        </w:numPr>
        <w:kinsoku/>
        <w:wordWrap/>
        <w:overflowPunct/>
        <w:topLinePunct w:val="0"/>
        <w:autoSpaceDE/>
        <w:autoSpaceDN/>
        <w:bidi w:val="0"/>
        <w:adjustRightInd/>
        <w:snapToGrid/>
        <w:spacing w:line="360" w:lineRule="auto"/>
        <w:ind w:firstLine="468" w:firstLineChars="200"/>
        <w:jc w:val="left"/>
        <w:textAlignment w:val="auto"/>
        <w:rPr>
          <w:rFonts w:hint="eastAsia" w:ascii="宋体" w:eastAsia="宋体" w:cs="Times New Roman"/>
          <w:lang w:val="en-US" w:eastAsia="zh-CN"/>
        </w:rPr>
      </w:pPr>
      <w:r>
        <w:rPr>
          <w:rFonts w:hint="eastAsia"/>
          <w:lang w:val="en-US" w:eastAsia="zh-CN"/>
        </w:rPr>
        <w:t>包含业绩</w:t>
      </w:r>
      <w:r>
        <w:rPr>
          <w:rFonts w:hint="eastAsia" w:ascii="宋体" w:eastAsia="宋体" w:cs="Times New Roman"/>
          <w:lang w:val="en-US" w:eastAsia="zh-CN"/>
        </w:rPr>
        <w:t>、项目实施方案、售后服务方案、售后服务团队人员配备、应急保障措施、</w:t>
      </w:r>
      <w:r>
        <w:rPr>
          <w:rFonts w:hint="eastAsia" w:cs="Times New Roman"/>
          <w:lang w:val="en-US" w:eastAsia="zh-CN"/>
        </w:rPr>
        <w:t>配套</w:t>
      </w:r>
      <w:r>
        <w:rPr>
          <w:rFonts w:hint="eastAsia" w:ascii="宋体" w:eastAsia="宋体" w:cs="Times New Roman"/>
          <w:lang w:val="en-US" w:eastAsia="zh-CN"/>
        </w:rPr>
        <w:t>设施的配备等</w:t>
      </w:r>
      <w:r>
        <w:rPr>
          <w:rFonts w:hint="eastAsia" w:cs="Times New Roman"/>
          <w:lang w:val="en-US" w:eastAsia="zh-CN"/>
        </w:rPr>
        <w:t>。</w:t>
      </w:r>
    </w:p>
    <w:p>
      <w:pPr>
        <w:pStyle w:val="106"/>
        <w:snapToGrid w:val="0"/>
        <w:spacing w:line="360" w:lineRule="auto"/>
        <w:ind w:firstLine="422" w:firstLineChars="200"/>
        <w:textAlignment w:val="auto"/>
        <w:rPr>
          <w:rFonts w:hint="eastAsia" w:ascii="宋体" w:hAnsi="宋体" w:eastAsia="宋体" w:cs="宋体"/>
          <w:b/>
          <w:sz w:val="21"/>
          <w:szCs w:val="21"/>
          <w:highlight w:val="none"/>
          <w:lang w:val="en-US" w:eastAsia="zh-CN"/>
        </w:rPr>
      </w:pPr>
      <w:r>
        <w:rPr>
          <w:rFonts w:hint="eastAsia" w:ascii="宋体" w:hAnsi="宋体" w:eastAsia="宋体" w:cs="宋体"/>
          <w:b/>
          <w:sz w:val="21"/>
          <w:szCs w:val="21"/>
          <w:highlight w:val="none"/>
          <w:lang w:val="en-US" w:eastAsia="zh-CN"/>
        </w:rPr>
        <w:t>五、验收标准</w:t>
      </w:r>
    </w:p>
    <w:tbl>
      <w:tblPr>
        <w:tblStyle w:val="59"/>
        <w:tblW w:w="0" w:type="auto"/>
        <w:tblInd w:w="0" w:type="dxa"/>
        <w:tblLayout w:type="autofit"/>
        <w:tblCellMar>
          <w:top w:w="0" w:type="dxa"/>
          <w:left w:w="108" w:type="dxa"/>
          <w:bottom w:w="0" w:type="dxa"/>
          <w:right w:w="108" w:type="dxa"/>
        </w:tblCellMar>
      </w:tblPr>
      <w:tblGrid>
        <w:gridCol w:w="9150"/>
      </w:tblGrid>
      <w:tr>
        <w:tblPrEx>
          <w:tblCellMar>
            <w:top w:w="0" w:type="dxa"/>
            <w:left w:w="108" w:type="dxa"/>
            <w:bottom w:w="0" w:type="dxa"/>
            <w:right w:w="108" w:type="dxa"/>
          </w:tblCellMar>
        </w:tblPrEx>
        <w:tc>
          <w:tcPr>
            <w:tcW w:w="9150" w:type="dxa"/>
            <w:noWrap w:val="0"/>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kern w:val="0"/>
                <w:sz w:val="21"/>
                <w:szCs w:val="21"/>
                <w:highlight w:val="none"/>
                <w:lang w:val="en-US" w:eastAsia="zh-CN" w:bidi="ar-SA"/>
              </w:rPr>
              <w:t xml:space="preserve"> 按照招标文件要求的范围、内容、标准和投标文件响应的内容逐项进行考核验收。</w:t>
            </w:r>
          </w:p>
        </w:tc>
      </w:tr>
    </w:tbl>
    <w:p>
      <w:pPr>
        <w:pStyle w:val="106"/>
        <w:snapToGrid w:val="0"/>
        <w:spacing w:line="360" w:lineRule="auto"/>
        <w:ind w:firstLine="422" w:firstLineChars="200"/>
        <w:textAlignment w:val="auto"/>
        <w:rPr>
          <w:rFonts w:hint="eastAsia" w:ascii="宋体" w:hAnsi="宋体" w:eastAsia="宋体" w:cs="宋体"/>
          <w:b/>
          <w:sz w:val="21"/>
          <w:szCs w:val="21"/>
          <w:highlight w:val="none"/>
          <w:lang w:val="en-US" w:eastAsia="zh-CN"/>
        </w:rPr>
      </w:pPr>
      <w:r>
        <w:rPr>
          <w:rFonts w:hint="eastAsia" w:ascii="宋体" w:hAnsi="宋体" w:eastAsia="宋体" w:cs="宋体"/>
          <w:b/>
          <w:sz w:val="21"/>
          <w:szCs w:val="21"/>
          <w:highlight w:val="none"/>
          <w:lang w:val="en-US" w:eastAsia="zh-CN"/>
        </w:rPr>
        <w:t xml:space="preserve">六、其他  </w:t>
      </w:r>
    </w:p>
    <w:p>
      <w:pPr>
        <w:pStyle w:val="106"/>
        <w:snapToGrid w:val="0"/>
        <w:spacing w:line="360" w:lineRule="auto"/>
        <w:ind w:firstLine="422" w:firstLineChars="200"/>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投标人需保持联系电话的畅通，随时准备对评审小组的询问予以解答。</w:t>
      </w:r>
    </w:p>
    <w:p>
      <w:pPr>
        <w:pStyle w:val="3"/>
        <w:rPr>
          <w:rFonts w:hint="eastAsia" w:ascii="宋体" w:hAnsi="宋体" w:eastAsia="宋体" w:cs="宋体"/>
          <w:sz w:val="21"/>
          <w:szCs w:val="21"/>
        </w:rPr>
      </w:pPr>
    </w:p>
    <w:p>
      <w:pPr>
        <w:pStyle w:val="52"/>
        <w:jc w:val="left"/>
        <w:rPr>
          <w:rFonts w:hint="eastAsia" w:ascii="宋体" w:hAnsi="宋体" w:eastAsia="宋体" w:cs="宋体"/>
          <w:sz w:val="21"/>
          <w:szCs w:val="21"/>
        </w:rPr>
      </w:pPr>
    </w:p>
    <w:p>
      <w:pPr>
        <w:pStyle w:val="51"/>
        <w:rPr>
          <w:rFonts w:hint="eastAsia" w:ascii="宋体" w:hAnsi="宋体" w:eastAsia="宋体" w:cs="宋体"/>
          <w:sz w:val="21"/>
          <w:szCs w:val="21"/>
        </w:rPr>
      </w:pPr>
    </w:p>
    <w:p>
      <w:pPr>
        <w:rPr>
          <w:rFonts w:hint="eastAsia" w:ascii="宋体" w:hAnsi="宋体" w:eastAsia="宋体" w:cs="宋体"/>
          <w:sz w:val="21"/>
          <w:szCs w:val="21"/>
        </w:rPr>
      </w:pPr>
    </w:p>
    <w:p>
      <w:pPr>
        <w:pStyle w:val="52"/>
        <w:rPr>
          <w:rFonts w:hint="eastAsia" w:ascii="宋体" w:hAnsi="宋体" w:eastAsia="宋体" w:cs="宋体"/>
          <w:sz w:val="21"/>
          <w:szCs w:val="21"/>
        </w:rPr>
      </w:pPr>
    </w:p>
    <w:p>
      <w:pPr>
        <w:pStyle w:val="51"/>
        <w:rPr>
          <w:rFonts w:hint="eastAsia" w:ascii="宋体" w:hAnsi="宋体" w:eastAsia="宋体" w:cs="宋体"/>
          <w:sz w:val="21"/>
          <w:szCs w:val="21"/>
        </w:rPr>
      </w:pPr>
    </w:p>
    <w:p>
      <w:pPr>
        <w:pStyle w:val="65"/>
        <w:rPr>
          <w:rFonts w:hint="eastAsia" w:ascii="宋体" w:hAnsi="宋体" w:eastAsia="宋体" w:cs="宋体"/>
          <w:sz w:val="21"/>
          <w:szCs w:val="21"/>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sz w:val="44"/>
          <w:szCs w:val="44"/>
          <w:lang w:eastAsia="zh-CN"/>
        </w:rPr>
      </w:pPr>
    </w:p>
    <w:p>
      <w:pPr>
        <w:pStyle w:val="4"/>
        <w:keepNext/>
        <w:keepLines/>
        <w:pageBreakBefore w:val="0"/>
        <w:widowControl w:val="0"/>
        <w:kinsoku/>
        <w:wordWrap/>
        <w:overflowPunct/>
        <w:topLinePunct w:val="0"/>
        <w:autoSpaceDE/>
        <w:autoSpaceDN/>
        <w:bidi w:val="0"/>
        <w:adjustRightInd/>
        <w:snapToGrid/>
        <w:spacing w:before="0" w:after="0" w:line="240" w:lineRule="auto"/>
        <w:ind w:left="0" w:leftChars="0" w:firstLine="0" w:firstLineChars="0"/>
        <w:jc w:val="both"/>
        <w:textAlignment w:val="auto"/>
        <w:rPr>
          <w:rFonts w:hint="eastAsia" w:ascii="宋体" w:hAnsi="宋体" w:eastAsia="宋体" w:cs="宋体"/>
          <w:b w:val="0"/>
          <w:bCs/>
          <w:sz w:val="44"/>
          <w:szCs w:val="44"/>
          <w:lang w:eastAsia="zh-CN"/>
        </w:rPr>
      </w:pPr>
    </w:p>
    <w:p>
      <w:pPr>
        <w:rPr>
          <w:rFonts w:hint="eastAsia"/>
          <w:lang w:eastAsia="zh-CN"/>
        </w:rPr>
      </w:pPr>
    </w:p>
    <w:p>
      <w:pPr>
        <w:pStyle w:val="4"/>
        <w:keepNext/>
        <w:keepLines/>
        <w:pageBreakBefore w:val="0"/>
        <w:widowControl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eastAsia" w:ascii="宋体" w:hAnsi="宋体" w:eastAsia="宋体" w:cs="宋体"/>
          <w:b w:val="0"/>
          <w:bCs/>
          <w:sz w:val="44"/>
          <w:szCs w:val="44"/>
          <w:lang w:eastAsia="zh-CN"/>
        </w:rPr>
      </w:pPr>
      <w:r>
        <w:rPr>
          <w:rFonts w:hint="eastAsia" w:ascii="宋体" w:hAnsi="宋体" w:eastAsia="宋体" w:cs="宋体"/>
          <w:b w:val="0"/>
          <w:bCs/>
          <w:sz w:val="44"/>
          <w:szCs w:val="44"/>
          <w:lang w:eastAsia="zh-CN"/>
        </w:rPr>
        <w:t>采购需求书</w:t>
      </w:r>
    </w:p>
    <w:p>
      <w:pPr>
        <w:jc w:val="both"/>
        <w:rPr>
          <w:rFonts w:hint="default"/>
          <w:b/>
          <w:bCs/>
          <w:sz w:val="40"/>
          <w:szCs w:val="48"/>
          <w:lang w:val="en-US" w:eastAsia="zh-CN"/>
        </w:rPr>
      </w:pPr>
    </w:p>
    <w:tbl>
      <w:tblPr>
        <w:tblStyle w:val="59"/>
        <w:tblW w:w="97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5"/>
        <w:gridCol w:w="993"/>
        <w:gridCol w:w="6943"/>
        <w:gridCol w:w="590"/>
        <w:gridCol w:w="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技术参数</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化学学生实验桌</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规格：1200×600×780mm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面：一体化陶瓷台面，台面经过上釉工艺处理，具有耐高温（长时间耐温1300度）、耐刻刮、防静电、耐腐蚀、防垢易清洁、防霉、防水等最佳物理性能和化学性能。四周边缘采用35mm厚工程塑料一体注塑成型进行包边，减少桌体间机械碰撞，前沿设50mm高挡水边，可有效阻挡仪器滑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参照GB/T4100-2015、GB6566-2010相关标准，台面品质检测结果符合或超过以下参数：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吸水率≤0.5%</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断裂模数≥35.0MPa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破坏强度≥1300N</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耐污染性不低于3级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耐磨性不低于4级2000转</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耐冲击性≥0.75</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放射性 A类≤1.0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压缩强度≥130MPa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表面耐划痕≥1级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洛氏硬度≥50.0HRC</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耐化学腐蚀性：98%硫酸、65%硝酸、37%盐酸、80%磷酸、乙酸、40%氢氧化钾、40%氢氧化钠、10%双氧水、氯苯、四氯化碳、37%甲醛等试剂/溶液测试表面无明显变化。</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桌体：新钢塑镂空结构（工字形）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桌脚：内置承重部分采用60×40×1.6mm矩形铝镁合金，横档采用30×40×1.6mm矩形铝镁合金，通过合金压铸角铁组装成“工”字形（使整体框架结构更为合理，增强桌体承重性及整体稳定性）；外置装饰柱、装饰盖均采用ABS工程塑料一次注塑成型，外表为流线形设计，具有防潮、防水、防腐、防酸碱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书包盒：规格：425×305×110mm（每组2个），采用ABS工程塑料一次注塑成型，预留学生凳挂靠口；固定横梁采用30×30×1.2mm矩形钢构件，书包挂架采用20×30×1.2mm矩形钢构件，钢构件表面经酸洗、磷化、喷塑处理，框架横梁与桌脚之间均采用PC＋ABS工程塑料合金连插件连接。</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吊板：采用2mm厚冷轧钢板折弯成型，表面经酸洗、磷化、喷塑处理，吊板离地550mm（每组桌除两侧的桌腿外，整个下面是镂空的，便于打扫卫生）。</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可调脚：采用进口ABS耐蚀注塑专用垫。具有高度可调、耐磨、防潮、耐腐蚀等特点。</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学生实验凳</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1、产品规格：凳面直径320mm，高度380-480mm（高度可调）；</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技术参数：凳面采用3mm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70×170mm）为聚丙烯一体注塑成型表面磨砂处理；支架选用半径为230mm五星脚，不占用空间面积，五星脚采用高强度尼龙材料一体注塑成型，具有结构牢固、耐酸碱腐蚀等特点。</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组合式智慧演示台</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规格：2650×750×850mm</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结构：塑铝结构</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实验操作台面：规格不小于1500×750mm，采用一体化陶瓷台面，经过上釉工艺处理，具有耐高温（长时间耐温1300度）、耐刻刮、防静电、耐腐蚀、防垢易清洁、防霉、防水等最佳物理性能和化学性能，四周边缘采用35mm厚工程塑料软包边，有效减少桌体间机械碰撞。</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参照GB/T4100-2015、GB6566-2010相关标准，台面品质检测结果符合或超过以下参数： </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吸水率≤0.5%；断裂模数≥35.0MPa；破坏强度≥1300N；耐污染性不低于3级；耐磨性不低于4级2000转；耐冲击性≥0.75；放射性 A类≤1.0；压缩强度≥130MPa；表面耐划痕≥1级；洛氏硬度≥50.0HRC；耐化学腐蚀性：98%硫酸、65%硝酸、37%盐酸、80%磷酸、乙酸、40%氢氧化钾、40%氢氧化钠、10%双氧水、氯苯、四氯化碳、37%甲醛等试剂/溶液测试表面无明显变化。</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主体结构：采用规格不小于30×30×1.2mm铝型材，配以金属连接件组装而成。台身背板及侧板采用5mm厚抗倍特板，抽屉和储藏柜门板采用16mm厚E1级优质三聚氰胺环保板，柜体间转角根据产品内部结构之差异，采用模具一次成型工程塑料连插件连接，使整体框架结构更为合理。</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台身设计：多媒体展示台面采用工程塑料一次注塑成型，台面预留内置24寸电脑显示器空间，屏面位于台面中间，方便示教者观看。台身正面设置伸缩式键盘托，可同时容纳键盘和鼠标，采用静音滑轨，方便活动抽拉。</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台身预留抽屉和储藏柜空间。预设内置视频终端集成处理设备空间。台身内可放置电脑主机箱，柜体四角采用圆弧设计，柜体内留有穿线孔，方便各设备连接。</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4.水槽台：台面采用工程塑料整体模具一体注塑成型，四周边缘设计挡水边。台面集成有给排水PVC管、信号控制连接线、水嘴、溢水口及台式洗眼器。水嘴采用工程塑料模具注塑成型。水槽台下水口带有过滤网。</w:t>
            </w:r>
          </w:p>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水槽台内部设有水位传感器及排水装置，有自动排水和手动及紧急排水功能，将废水自动排出。</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教师演示台</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规格：2400×750×850mm</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台面：一体化台面，采用12mm实芯理化板，耐强酸碱、耐腐蚀、耐有机溶剂，抗菌、抗污染、防水、防火。四周边缘加厚至24mm，并经精密加工、倒角、打磨，呈光滑半圆形，注重人性化设计，美观实用。</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台面颜色：学校自由选择</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产品结构：铝木结构</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身用材：台身用材：采用模具成型φ50mm双层（外圈铝合金直径50mm，内圈直径31mm，铝合金壁厚1.2mm）圆型铝镁合金框架，内置框架采用28×28mm方形铝镁合金，柜体间转角将根据产品内部结构之差异，采用模具开发合金连插件连接，使整体框架结构更为合理，其承重性及整体稳定性特别强。铝镁合金表面经电泳、静电环氧树脂粉末喷涂处理，具有耐腐蚀、防火、防潮等功能，美观实用。</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封边：采用16mm厚优质E1级环保三聚氰胺双贴面防潮板，所有板材外露端面采用高质量PVC封边条，利用机械封边机配以热溶胶高温封边，高密封性不吸水、不膨胀，外型美观、经久耐用。</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台身设计：</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1、箱体预设有多媒体设备展架、电脑主机箱柜、视频展台柜、电源控制台、键盘等。</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2、台背部为开门设计，便于电器维护，并装百页窗保证电器通风散热，有效延长电器设备的寿命。</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组装接缝严密，连接牢固，无松动现象。</w:t>
            </w:r>
          </w:p>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可调脚：采用模具成型PC＋ABS工程塑料合金注塑专用垫，可隐蔽固定，高25mm，可暗藏固定防止晃动，并能有效防止桌身受潮，延长设备的使用寿命。</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电源总控台</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装置在演示台内：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规格：550×265mm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触摸键控制，薄膜面板装置在演示台内，其主要技术参数指标如下：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1、微电脑控制、智能设计、触摸按键，使用开关电源，功耗特小、负载能力强，在压降大时结温不变，质量非常稳定；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2、设有电源总开关、漏电保护开关、工作指示表、220V交流输出多用插座等多种操作功能；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3、密码开机：有密码记忆功能、只有相关老师输入正确密码后方可打开设备进行操作；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4、定时关机：本产品还具有定时功能，从开机时间起，一小时后自动关机；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5、时钟显示：能显示老师工作时间，为教师提供各种实验中的精确时间数据；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6、0-30V交流电压电源，分档输出，额定电流≥6A（短路、过载自动保护、自动复位功能）；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7、1.25-30V精密稳压电源，无级输出（分辨率为0.1V），额定电流≥6A（短路、过载自动保护、自动复位功能）；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8、低压直流大电流输出：9V/40A；延时8S自动关断，采用软件控制，误差几乎为零；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9、高压小直流电压：300V/150V、0.1A，有自动保护功能，保护电流为100MA；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10、控制学生所有供电输出。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11、配套电源控制箱包含总电源开关，分组220V电源开关，具有过载、短路等保护功能。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12、通风系统：采用变频器对风机进行调速，变频器控制面板安装在教师主控面板上；变频器调整精确度高，具有延长风机使用寿命、节能、降噪音等特点。</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所有输出参数符合JY/T0374-2004《实验室设备电源系统》标准。</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多功能水槽台</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规格尺寸：500×600×1030H/水槽深度270mm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 水槽台上部为多功能安装平台采用3.8mm厚工程塑料整体模具注塑成型，多功能平台集成学生电源，网络接口、USB接口、三联水嘴、8试管位滴水架。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学生电源固定安装于两侧，220V交流电源：每台配备220V交流输出多用豪华插座2个,低压交流电源2-30V/3A（2V一档）（短路、过载自动保护、自动复位）；低压直流电源：1.25V-30V/3A，学生可进行微调；交直流电压均采用数码显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3、多功能安装平台装配有2个网络、USB接口;</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4、水槽与台面采用3.8mm厚工程塑料整体模具一体注塑成型，台面设有溢水口及台式洗眼器，四周边缘设计挡水边。</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5、三联水嘴采用工程塑料模具注塑成型。</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实验通风装置</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万向抽气罩：吊顶安装、PVC优质风管、PP集气罩，可360度自由旋转。</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风量分布控制器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ABS工程注塑</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实验通风机</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1.实验通风机规格：功率5.5KW，箱式变频6#带自动调速机。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内径尺寸：1100*1200*1200mm，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重量：210kg</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电压：380V</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工作时：噪音≤70分贝,配一体化消声器材、风流量10210-15600M3/h，全压946-890Pa，转速：950r/min,每小时教室换气次数20次以上，排毒（3-5分钟每次）达到98%。可根据室内环境调节。</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通风设备</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2.风机开关及变频控制系统：5.5KW变频器，采用高级电子集成电路，无级调速，随意控制风机风速和风量大小。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3.风机进出口接头：φ315mm,PVC材质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4.6#通风机弯头：高级树脂复合材料</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5.风机控制线规格：φ25mm</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6.电气线管：4平方毫米电线3根，2.5平方毫米电线1根。</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室内通风管道</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规格：室内分别为φ315mm；φ200mm，φ110mm室内主、副管。（不含通风管道表面包装）</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室外通风管道</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规格：室外根据现场实际情况选用φ315mm、φ250mm等规格，转接头及室外至楼顶管。（不含通风管道表面包装）</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实验室给排水管</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给水采用φ25㎜优质PPR(国标)管</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排水采用φ50㎜优质PVC(国标)管</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实验室电气管线</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规格：φ25mm、φ32mm</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铜芯24芯，优质UPVC(国标)管，耐压500V，交直流两用。</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安装费用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整室产品安装费用：包括教师演示台、学生实验桌、实验凳、电源总控台、学生电源实验板等</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实验椅</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1、产品规格：椅面390×430mm，有效座位高度420-540(高度可调)</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技术参数：椅面采用聚丙烯中空吹塑成型，接触面为防滑处理，采用曲面设计增加接触面积，符合人体工程学增强坐感舒适度可有效纠正学生错误坐姿；学生椅选用优质气杆，与椅面连接处安装加宽加强防爆机构，气杆防尘套（Ø70×170mm）为聚丙烯一体注塑成型表面磨砂处理；支架选用半径为230mm五星脚，不占用空间面积，五星脚采用高强度尼龙材料一体注塑成型，具有结构牢固、耐酸碱腐蚀等特点。</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智能控制电气柜</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规格：900×400×1800mm；</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智能控制电气柜内置总电源开关1个，电源保护器1个，PLC控制器及功能扩展模块1套，PLC专用电源1个，PLC保护模块1个、急停控制系统1个，工作指示灯1个，分组控制系统。</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（1）电源控制系统：PLC智能化控制系统集中控制，可分组控制AC220V电源，具有过载、短路等保护功能；</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（2）照明控制系统：PLC智能化控制系统集中控制，可分组控制日光灯，具有过载、短路等保护功能；</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（3）给排水控制系统：给水系统：设有总给水控制阀门，教师可以方便对全室供水系统进行控制。</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自动排水系统：所有排水由智能化控制系统集中控制。</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通风控制系统：采用风机矢量控制变频器：应用空间电压矢量控制原理，采用模块化设计、双CPU控制，是集数字技术、计算机技术、现代自控技术于一体的高科技产品，具有精度高、噪音低、转矩大、性能可靠等特点。主要参数指标为：1.频率指示、异常指示、转速指示、状态指示等均由LED显示；2.输入额定电压：三相380V，±15%；3.输入额定频率：50/60HZ；4.控制方式：空间电压矢量控制；5.输出频率：1.00~400.0HZ；6.过载能力：150%额定电流；7.保护功能：输入缺相、输入欠压、直流过压、过载等。</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（5）摇臂自动控制系统：系统集中控制教室摇臂功能。</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（6）远程控制系统：可实现APP远程控制。</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控制系统：采用工程PLC控制系统。</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控制面板</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7寸触摸屏，集中控制系统。可执行各分项分页控制；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（1）通风控制：可实现远程触摸数字无极变频控制，具有频率数字显示功能，可精确控制通风风量；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（2）供水控制：可实现远程集中控制整室给排水；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（3）照明控制：可实现远程分组控制整室照明；</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（4）电源控制：可实现远程分组控制学生高低压电源；</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（5）摇臂控制：可实现远程控制摇臂升降机构。</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远程控制系统</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A、 使用APP账户密码登入系统操作，便于老师使用与管理。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B、 APP移动终端与智能控制面板界面同步显示。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 使用APP移动终端可实现远程无极变频通风系统控制功能。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 使用APP移动终端可实现远程集中控制给排水功能。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 使用APP移动终端可实现远程电源控制。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 使用APP移动终端可实现远程控制摇臂升降功能。</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PC机通过网络连接可实现智能控制电气柜操作，并能实现移动设备、触摸屏、教师一体机的同步交互控制。</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实验室专用通风罩</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万向式吸风罩。</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1、万向节采用Ø75mm铝合金材质，表面经电泳、静电环氧树脂粉末喷涂处理，具有耐腐蚀、防火、防潮等功能；活动关节采用高密度PP材质，旋钮式螺纹压紧；可360度旋转调节方向，易拆卸、重组及清洗；</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2、气流调节阀采用手动调节外部阀门旋钮，控制进入之气流量；</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3、360°旋转装置活动半径900mm；</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4、PC塑料成型制作风口柔性伸缩连接管；</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在通风机的强制抽风下经吸风罩汇入将实验废气排出室外，最佳排气距离可调整。</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吊装式通风管道</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规格尺寸：标准模块化组成，2400mm为一组；</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通风主管道、支管道均采用防腐蚀PVC制作而成，主管道：Ø315mm；通风支管道：Ø250mm、Ø200mm、Ø160mm风道，接口采用专用接口连接。</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吊装通风设备</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通风机：选用箱式低噪变频风机，采用数字变频调控，具有噪音低、坚固耐用、风量大等特点。可利用智能化控制系统进行风量调节（随意调节风量大小），控制通风机，联接各风道，能有效排除实验桌及室内的有害腐蚀气体。电机功率为5.5KW，转速700~800r/min，流量11500M3/h，全压812Pa，噪声符合国家标准。</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2.风机控制线：规格：Ø25mm</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3.电气线管：6平方毫米、2.5平方毫米电线。</w:t>
            </w:r>
          </w:p>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4.室外行程通风管道：采用Ø400mm防腐蚀UPVC管及弯头，管卡采用碳钢制作，表面经镀铬处理，具有耐腐蚀、防火、防潮等功能。</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照明光源</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接收智能化控制系统控制，功能面板采用200×600mmABS工程塑料注塑成型，内部安装镜面铝板反光罩及阻燃ABS一次成型灯架，配置LED灯两套，设计安装磨砂均光板，不仅能使光线扩散均匀更能起到安全防护作用。</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照明线路</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模块化设计，每组模块间采用活接式连接，方便安装、检修。采用通用优质铜芯电线进行系统布线。</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摇臂升降机构</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摇臂升降机构接受智能控制系统信号实现远程遥控，动力为24V低压减速电机，固定于专用支架，外部保护罩为ABS工程塑料。</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支撑悬臂：采用不小于1.2mm厚70×80×420mm椭圆形铝镁合金大型模具制作而成，表面阳极氧化磨砂处理。</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功能操作模块规格（长×高×厚）：不小于600×200×110mm</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1、整体呈横向椭圆状，表面圆润防止学生磕碰；</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功能操作模块由正面功能操作面板和背面检修面板组成，主体均采用3.5mm厚ABS阻燃工程塑料一次注塑成型具有防火、防潮、防锈及防漏电功能；功能接口模块不少于8个，包含：220V电源五孔插座、USB接口和网络接口。</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3、功能操作面板预留电源功能模块，功能模块成田字状分布方便学生使用，模块规格不小于65×65mm；</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4、每组功能操作面板可满足两组学生用电功能需求。为避免学生身高无法使用电源模块，最高处电源模块中心点距离操作面板底端不得超过150mm。</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给排水接口：接收智能化控制系统控制，摇臂操作面板上预留快速给排水接口1对、信号控制接口1个。快速给水接口采用铜质镀镍工艺，自带止流阀和手动阀（止流阀可实现拔出给水管接头时，出水口自动止水），快速排水接口采用PP-R材质注塑成型。</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6、摇臂设有自检测功能，当摇臂与水槽信号控制线相连时，摇臂处于使用状态，自动锁定不能升降，避免误操作。</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7、背面检修面板留有散热孔，功能模块底面带有不锈钢挂环，可收束电源线；</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8、所有紧固零件均采用不锈钢材质；</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9、所有功能模块均接受智能控制系统控制。</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多功能移动水槽台</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规格尺寸：500×600×1030H/水槽深度270mm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1、水槽台上部为多功能安装平台采用厚度不小于3.8mm厚工程塑料整体模具注塑成型，多功能平台集成有给排水PVC管、信号控制连接线、低压学生电源、三联水嘴、8试管位滴水架。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2、低压学生电源固定安装于两侧，接收智能化控制系统控制，低压交流电源2-30V/3A（2V一档）（短路、过载自动保护、自动复位）；低压直流电源：1.25V-30V/3A，学生可进行微调；交直流电压均采用数码显示；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3、水槽与台面采用3.8mm厚工程塑料整体模具一体注塑成型，台面设有溢水口及台式洗眼器，内部集成自动水位控制系统，四周边缘设计挡水边。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4、三联水嘴采用工程塑料模具注塑成型。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5、水槽台采用双层过滤结构，水槽下水口带有过滤网，水槽台中部配备抽屉式过滤层并安装通锁，背面预留检修口。</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6、水槽内设有水位传感器及排水装置，有自动排水和手动及紧急排水功能，将废水自动排出。</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7、水槽台底部安装静音万向轮。</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学生低压电源及网络智能控制设备</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0-30V交流电压电源，分档输出，额定电流≥6A（短路、过载自动保护、自动复位功能）；</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1.25-30V精密稳压电源，无级输出（分辨率为0.1V），额定电流≥6A；</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整室网络覆盖；</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接受智能控制电气柜控制。</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自动给排水系统</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包括自动排水模块1组、自动水位控制器1组、信号控制器1套、自动保护系统1组。</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有给排水由智能化控制系统集中控制，摇臂操作面板设计排水接口，快速给排水接口与多功能移动水槽台采用优质PVC软管连接，信号控制接口与多功能移动水槽台采用信号控制线进行连接。当水位达到限值时系统自动排水、污水经过连接管排至总管，当污水排净后排水系统自动关闭。</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给排水管</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1.给水主管选用Ø20-32mmPP-R给水管，模块化设计，每组模块间采用活接式连接，方便安装、检修。</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2.排水管选用加厚Ø50-75mmPVC-U国标管（具有防酸、防碱、耐腐蚀功能），模块化设计，每组模块间采用活接式连接，方便安装、检修。</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电气网络线路</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1.供电线路：模块化设计，每组模块间采用活接式连接，方便安装、检修。采用通用优质铜芯电线进行系统布线。</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2.网络线路：工程级全无氧铜六类屏蔽双绞线。</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系统主体构架</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1、规格尺寸：标准模块化组成，2400×960×600mm为一组；</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2、外形及材质：流线型设计（飞机舱体式设计），内质承重结构框架采用30×30mm方形铝合金，左右装饰条采用180×200流线型ABS工程塑料注塑成型，具有耐腐蚀、防潮等功能，美观实用。</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系统外观装饰功能板</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规格尺寸：标准模块化组成，1200×960×600mm为一组；</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系统外部两侧采用半圆弧型装饰板（规格：400×300mm）、底部装饰板（规格：600×300mm）均采用ABS工程塑料一次性注塑成型，所有装饰部件采用模块化设计，拆卸方便，便于检修。</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通风设备辅件</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采用固定横梁吊装方式，减少楼板承重，防止左右晃动，可进行上下、左右的平衡调节。</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主要辅件有：矩形钢、三角构件、直角座、龙骨架连接件、吊装挂件、安装连接板等。</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安装费用</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1.整室产品安装费用：包括组合式智慧演示台、学生实验桌、学生实验凳、学生实验椅等。</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2.室外通风管道安装（若特殊情况需使用吊车，则吊车费用另算）。</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3.吊装设备安装调试：</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1）吊顶安装可升降集成系统不用破坏原有地面，模块化结构设计，采用吊装安装方式；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2）系统结构安装调试；</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3）系统控制安装调试；</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4）通风系统安装调试；</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5）给排水安装调试；</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6）供电系统安装调试；</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7）照明系统安装调试；</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8）网络系统安装调试</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准备台</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规格：2400×1200×850mm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台面板材：一体化台面，采用12mm实芯理化板，耐强酸碱、耐腐蚀、耐有机溶剂，抗菌、抗污染、防水、防火。四周边缘加厚至24mm，并经精密加工、倒角、打磨，呈光滑半圆形，注重人性化设计，美观实用。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台的结构：铝木结构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框架：采用模具成型φ50mm双层（外圈铝合金直径50mm，内圈直径31mm，铝合金壁厚1.2mm）圆型铝镁合金框架，内置框架采用28×28mm方形铝镁合金，柜体间转角将根据产品内部结构之差异，采用模具开发PC＋ABS工程塑料合金连插件连接，使整体框架结构更为合理，其承重性及整体稳定性特别强。铝镁合金表面经电泳、静电环氧树脂粉末喷涂处理，具有耐腐蚀、防火、防潮等功能，美观实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身：侧、前后档板、门板等均采用16mm厚优质E1级环保三聚氰胺灰白色双贴面板。所有板材截面均采用热溶封边机以2mm厚PVC封边。准备台两边上层设计成抽屉的形式，两边的下层做成“凹”式柜的形式,柜内安装一层调节隔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可调脚：采用模具成型PC＋ABS工程塑料合金注塑专用垫，高25mm，可隐蔽固定，防止晃动，并能有效防止桌身受潮，延长设备的使用寿命。</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电源：多功能插座2个</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试剂架</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规格：2250×400×550mm,立柱：（规格：80×40）钢制结构，分两组装在准备台上以支撑试剂架。层板：单层，采用8mm厚钢化玻璃，层板两侧加装不锈钢挡杆，防止器皿滑落。</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PP仪器柜</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规格：1200*600*2000mm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柜体：柜体框架主体壁厚采用不小于4mm工程级聚丙烯材料注塑成型，具有耐腐蚀、耐酸碱、防水、耐热，耐候性能强、表面硬度、高弹性、韧性、电绝缘性等稳定物理、化学性能，背板采用不小于8mm耐腐蚀PP中空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柜门：上下柜门采用对开门设计，柜体门框采用工程级聚丙烯材料一体化注塑成型，嵌入式设计厚度不小于4mm玻璃柜门，配置数码锁。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铰链：柜门与柜体框架选用内置式免螺丝安装方式，材质选用工程级耐腐蚀、抗磨尼龙铰链。</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搁板：整体由上下层柜体组合而成，上下层柜体分别设计有两层搁板。搁板采用3mm工程级聚丙烯一体注塑成型，搁板设计高度不小于16mm挡边防止物品滑落，背面设计加强筋增加搁板综合性能。</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可调脚:采用工程塑料模具成型制作而成，具有高度可调、耐磨、 防潮、耐腐蚀等特点。</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PP药品柜</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规格：1200*600*2000mm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柜体：柜体框架主体壁厚采用不小于4mm工程级聚丙烯材料注塑成型，具有耐腐蚀、耐酸碱、防水、耐热，耐候性能强、表面硬度、高弹性、韧性、电绝缘性等稳定物理、化学性能，背板采用不小于8mm耐腐蚀PP中空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柜门：上下柜门采用对开门设计，柜体门框采用工程级聚丙烯材料一体化注塑成型，嵌入式设计厚度不小于4mm玻璃柜门，配置数码锁，便于老师日常管理。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铰链：柜门与柜体框架选用内置式免螺丝安装方式，材质选用工程级耐腐蚀、抗磨尼龙铰链。</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通风导流设计：药品柜由上下柜体组合而成，上下柜之间设有不小于Ø110mm导流孔，为保障药品柜内部风压均匀，柜体中间设计导流板，柜体两侧内部设计导流槽。柜体下方设有进气孔，顶部设有通风孔位。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药品托盘：上下层柜体共设有不少于12个活动式药品托盘。药品托盘采用3mm工程级聚丙烯一体注塑成型，药品托盘设计高度不小于16mm挡边防止药品滑落及液体洒下，背面设计加强筋增加药品托盘综合性能。</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可调脚:采用工程塑料模具成型制作而成，具有高度可调、耐磨、 防潮、耐腐蚀等特点。</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准备室通风设备</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（1）实验通风机：规格：功率190W通风机。电压：220V，工作时：噪音≤65分贝,风流量948m³/h，全压 210Pa </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（2）风机开关及漏电保护装置：漏电保护开关，0.06s急速断电,主体采用PC阻燃热固性外壳。</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（3）风机进出口接头：φ200,PVC材质</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（4）6#通风机弯头：高级树脂复合材料</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（5）通风管道及安装：规格：采用φ200，φ110室内主、副管，转接头及室外管。</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（6）风机控制线：规格：φ25</w:t>
            </w:r>
          </w:p>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电气布线：铜芯24芯，优质UPVC(国标)管，耐压500V。</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通风橱</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规格：1200×750×2100mm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操作台面：一体化台面，采用12mm厚实验室专用实芯理化板，新型环保材料，具有耐强酸碱、耐腐蚀、耐有机溶剂，抗菌、抗污染、防水、防火、易清洁等特点。四周边缘经精密加工、倒角、打磨，呈光滑半圆形，注重人性化设计，美观实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2.柜体：立柱采用采用50mm×50mm铝镁合金框架，E1级优质三聚氰胺双贴面板柜身。台面上部为玻璃透视操作台，下部橱柜为对开门设计。设有通风装置、PP杯槽和单联水嘴。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3.操作窗口：升降窗口采用自动配置平衡，0-100%开关任意无段定位。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4.可调脚：采用模型成型，无金属部分外露，可以现场地面调整水平。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5.配套功率190W通风机：220V电压，工作时噪音≤65分贝,风流量948m³/h，全压 210Pa。</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6.风机配套风机开关及漏电保护装置，φ25风机控制线，φ200、PVC材质风机进出口接头，6#通风机弯头。室内通风管道采用φ200，φ110室内主、副管和转接头。</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准备室给排水管</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给水采用φ25㎜优质PPR(国标)管</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排水采用φ50㎜优质PVC(国标)管</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准备室电气管线</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规格：φ25mm、φ32mm</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电气管线：铜芯24芯，优质UPVC(国标)管，耐压500V。</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安装费用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准备室安装费</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数据采集器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1、模块化结构，透明外壳设计，内含状态、电源指示灯；</w:t>
            </w:r>
          </w:p>
          <w:p>
            <w:pPr>
              <w:keepNext w:val="0"/>
              <w:keepLines w:val="0"/>
              <w:widowControl/>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2、与计算机采用USB2.0通讯协议，四路全数字通道，单通道最大采样率20KByte，采集器最大采样率80KByte，数字通道采样精度达5微妙；</w:t>
            </w:r>
          </w:p>
          <w:p>
            <w:pPr>
              <w:keepNext w:val="0"/>
              <w:keepLines w:val="0"/>
              <w:widowControl/>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3、通过USB接口供电，无需外接电源，所有端口具备防静电保护功能；</w:t>
            </w:r>
          </w:p>
          <w:p>
            <w:pPr>
              <w:keepNext w:val="0"/>
              <w:keepLines w:val="0"/>
              <w:widowControl/>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4、与传感器采用BT自锁接口，支持热插拔，即插即用，传感器可以任意组合，采集分辨率12bits；</w:t>
            </w:r>
          </w:p>
          <w:p>
            <w:pPr>
              <w:keepNext w:val="0"/>
              <w:keepLines w:val="0"/>
              <w:widowControl/>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5、内置双处理器主板，CPU主频48Mhz；支持有线/无线状态下的四通道并行采集；</w:t>
            </w:r>
          </w:p>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6、采用插接式结构，可根据实验教学需要，方便有线、无线工作模式切换。</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无线接口</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采用无线方式接入四种传感器并支持四通道并行采集，全数字通道，与数据采集器接插使用。在此种工作状态下，传感器应配合无线发射模块使用</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传感器无线发射模块</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通过与各种传感器组合使之具备与采集器的无线通讯功能。BT自锁接头，支持热插拔连接，可充电电池供电。</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传感器数据显示模块</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1、模块化设计既可以与传感器通过BT接口连接，也可以与计算机通过USB直接连接。数据的获取和上传无需通过数据采集器即可实现；</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2、自带不小于1.77寸彩色LED屏，可实时显示传感器数据；</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3、自动识别传感器及测量范围和分度。无需按键调控，简洁、美观、实用，减少因按键失灵造成的实验功能缺失；</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4、接口采用BT接口连接，自带锁扣，有效防止脱落。同时具有单向连接属性，避免因连接失误导致的数据传输失败。支持热插拔，使用寿命：不少于10000次插拔；</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5、自带不小于8M内存；</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数据上传有线模式：数据显示模块自带miniUSB接口，可与计算机连接。通过软件将数据上传并自动绘制变化图像。导出数据以Excel形式保存，图像可以图片的形式保存。可用于编制实验报告上传至实验评测系统进行数据统计及分析（也可结合学校实际情况上传至云端服务器）；</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7、数据上传无线模式：设备自带二维码，可用移动手持终端（手机、平板等）通过移动端实验软件扫描，导出实验数据，并绘制变化图线；</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8、自带可充电锂电池，最大电池容量不低于1100MAh。全铜触点，双保电芯，自动锁电。3.7V。满电最大待机续航时间不少于240h。可通过专用充电器完成充电，也可通过数据上传有线模式完成充电。</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传感器转接模块</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两端分别是BT接头与BT接口转换器，用于特种传感器与无线发射模块或数据显示模块的转接</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温度传感器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1、测量范围：-50℃～200℃；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2、分度：0.1℃；</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3、不锈钢探针，可测各种物体或溶液的温度；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高温传感器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1、测量范围：0℃～1200℃；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2、分度：1℃；</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3不锈钢探针，可测高温物体或火焰的温度；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相对压强传感器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1、测量范围：-20kPa～20kPa；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2、分度：0.01 kPa；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3、可用于测量气体的相对压强；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相对湿度传感器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1、测量范围：0～100%；</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2、分度0.1％；</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3、测量灵感件置于探管中，便于测量罐体的湿度值；</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4、自带传感器固定口，便于传感器固定；</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5、自带硬件调零按钮；</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6、模块化设计，可与有线接口、无线发射模块、数据显示模块连接，实现有线通讯、无线通讯、独立彩屏数据显示三种工作模式；</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7、采用BT接口，自带锁扣，有效防止脱落。同时具有单向连接属性，避免因连接失误导致的数据传输失败。支持热插拔，使用寿命：不少于10000次插拔；</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多量程电流传感器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1、测量范围：测量范围：-3A～3A；分度：0.01A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测量范围：-300mA～300mA；分度：1mA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测量范围：-30mA ～30mA；分度：0.1 mA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2、通过按钮切换量程；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3、自带传感器固定卡槽和螺口，便于和配套实验器材固定；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pH传感器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1、测量范围：0-14；</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2、分度：0.01，</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电导率传感器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 mS/cm ～20mS/cm；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2、分度：0.001 mS/cm；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氧化还原传感器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1、测量范围：-500mV～1200mV；</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2、分度：1mV；</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3、自带传感器固定口，便于传感器固定；</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4、自带硬件调零按钮；</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5、模块化设计，可与有线接口、无线发射模块、数据显示模块连接，实现有线通讯、无线通讯、独立彩屏数据显示三种工作模式；</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6、采用BT接口，自带锁扣，有效防止脱落。同时具有单向连接属性，避免因连接失误导致的数据传输失败。支持热插拔，使用寿命：不少于10000次插拔；</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氧气传感器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1、测量范围：0～100%；</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2、分度：0.1%；</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3、自带硬件校准按钮；</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4、模块化设计，可与有线接口、无线发射模块、数据显示模块连接，实现有线通讯、无线通讯、独立彩屏数据显示三种工作模式；</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5、采用BT接口，自带锁扣，有效防止脱落。同时具有单向连接属性，避免因连接失误导致的数据传输失败。支持热插拔，使用寿命：不少于10000次插拔；</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二氧化碳传感器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 ppm～50000ppm；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2、分度1ppm；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3、红外原理，为保证测量数据准确性和时效性，要求该传感器采用泵动循环，方便气体循环；</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色度传感器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1、测量范围：透光率0～100％；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2、分度：0.1％，三波长光源（R、G、B）测量；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浊度传感器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 NTU～400NTU；</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2、分度：0.1 NTU；</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一氧化碳传感器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1、测量范围：0～1000ppm；</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2、分度：1ppm；</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3、自带传感器固定口，便于传感器固定；</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4、自带硬件调零按钮；</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5、模块化设计，可与有线接口、无线发射模块、数据显示模块连接，实现有线通讯、无线通讯、独立彩屏数据显示三种工作模式；</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6、采用BT接口，自带锁扣，有效防止脱落。同时具有单向连接属性，避免因连接失误导致的数据传输失败。支持热插拔，使用寿命：不少于10000次插拔；</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二氧化硫传感器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 ppm～20ppm，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2、分度0.01 ppm；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氢气传感器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1、测量范围：0～100%LEL；</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2、分度：0.1%；</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氯气传感器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1、测量范围：0～20ppm；</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2、分度：1ppm；</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3、自带传感器固定口，便于传感器固定；</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4、自带硬件调零按钮；</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5、模块化设计，可与有线接口、无线发射模块、数据显示模块连接，实现有线通讯、无线通讯、独立彩屏数据显示三种工作模式；</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6、采用BT接口，自带锁扣，有效防止脱落。同时具有单向连接属性，避免因连接失误导致的数据传输失败。支持热插拔，使用寿命：不少于10000次插拔；</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甲烷传感器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1、测量范围：0～5%；</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2、分度：0.01%；</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3、自带传感器固定口，便于传感器固定；</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4、自带硬件调零按钮；</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5、模块化设计，可与有线接口、无线发射模块、数据显示模块连接，实现有线通讯、无线通讯、独立彩屏数据显示三种工作模式；</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6、采用BT接口，自带锁扣，有效防止脱落。同时具有单向连接属性，避免因连接失误导致的数据传输失败。支持热插拔，使用寿命：不少于10000次插拔；</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滴定实验装置</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由滴定计数器、专用滴定管、支架、转接器和螺栓组成，用于统计液滴数量、测量液滴体积。</w:t>
            </w:r>
          </w:p>
        </w:tc>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气液相密封实验器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与生物化学传感器密闭连接，可完成陆水生植物光合作用、种子萌发、呼吸作用、酶的特性等实验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电磁搅拌器</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可控转速，适合中和滴定、溶液多种参数测量实验</w:t>
            </w:r>
          </w:p>
        </w:tc>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中和热实验器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双层防散热设计，可研究酸碱中和反应热实验。</w:t>
            </w:r>
          </w:p>
        </w:tc>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原电池实验器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配备方槽、铜锌电极，可以产生微弱电动势。</w:t>
            </w:r>
          </w:p>
        </w:tc>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铁的吸氧腐蚀实验器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宽径浅口玻璃试管及胶塞总成组成。配合温度传感器、压强传感器、及氧气传感器使用，用于中学化学“铁的吸氧腐蚀实验的探究”及“空气中氧气含量的测定”。该器材的设计增大反应物与氧气反应的接触面积，加快反应速率，缩短反应时间，又易于观察和清洗的功能。</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化学反应速率实验器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密封反应瓶、泄压组件、螺口注射器组成，配合相对压强传感器使用用于中学化学“化学反应速率的研究”。本器材设有注射器阀门开关及泄压阀，充分保证了实验的安全性；螺口注射器和带盖密封反应瓶，保证实验器的密封性，大大减少因气体逸散导致的实验误差。</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多用途密封塞</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配合压强传感器、温度传感器、二氧化碳传感器、氧气传感器使用，可以与实验室常用玻璃容器结合。</w:t>
            </w:r>
          </w:p>
        </w:tc>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数字化火焰测量实验器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用于研究“火焰的温度”，用来探究火焰的分层以及各层温度的大小关系。</w:t>
            </w:r>
          </w:p>
        </w:tc>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二氧化碳性质实验器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用于研究二氧化碳性质的探究。能同时完成倾倒二氧化碳、二氧化碳的溶解性实验、二氧化碳与澄清石灰水的反应、二氧化碳与水的反应等四个实验。</w:t>
            </w:r>
          </w:p>
        </w:tc>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稀释池</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倒置三角烧杯结构，上端开口，底端封闭，配匀速滴管。用于稀释倍数较大，且对初始溶解有一定量要求的化学实验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多用途生化传感器支架</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机械臂、传感器电极夹及固定夹组成，机械臂固定在实验台边，能在三维空间内灵活移动并准确定位，稳定性好；电极夹口径适合常用生化传感器的电极，方便生化实验操作，具有保护传感器不受损坏、提高空间利用率和实验效率功能。机械臂长度：600mm</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多向转接头</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零件，双向交叉，孔内径适应于标准铁架台</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实验软件</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1、为数字化实验分析软件软件。用于数据收集和结果分析。</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2、包含教材通用软件、物理教材专用软件、化学专用软件、生物专用软件、传感器校准软件与数据导入软件六个部分。</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2.1、通用软件：</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可实现传感器数据的自动识别及控制：传感器接入后自动识别测量种类、测量范围、分度、单位、通道序号等。可改变传感器的显示方式：数字表、模拟表、示波。可根据实验调整传感器的采样频率、开始与暂停、字体颜色、字号大小、调零、示波图线的移动及大小。</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组合图线：拥有2个完全相同的组合图线显示窗口，可并行使用。通过该功能的应用可完成基于传感器的实时数据变化的描绘和计算表格数据描绘及分析、处理等操作。数据的分析及处理包括：拟合、求导、积分、统计、包格线等。可通过回访功能重复观察实验的变化规律。对图像可根据实验进行放大、缩小。可对引用的传感器进行同步的停止和开始，达到很好的同时性；可对引用的传感器进行同步的调零，达到很好的一致性；可对引用的传感器进行同步采样频率调整，达到很好的精确性；</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计算表格：可自动识别接入的传感器，并按照接入的通道自动标号。可通过变量、公式、求平均、绘图等按钮对数据进行处理。根据不同的实验要求可选择自动记录和手动记录。自动记录可调整时间间隔、选择采样条件，手动记录可根据需要进行点击记录，有效减少无效数据对实验结果的干扰。可引用现有实验模板也可DIY实验模板，并保存。支持表格的复制、粘贴、剪切。具备放大缩小功能，还支持打印机直接引用（无需退出实验软件），进行结果打印。实验结果可通过Excel形式进行保存。也可将保存的数据多次调用。</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（4）实验录制：可同时将实验操作过程和软件的实验界面进行同屏录制，实现了实验现象和数据的对应。解决了数字实验无现象的难题（为减少软件操作复杂性，用其他软件录屏视为功能性缺失。）</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物理专用软件：界面简洁、风格独特、一键OK的特点。Y涵盖了人教、粤教、鲁科等教材的重点实验。明确了实验题目，使用时直接接入传感器即可。大大的方便了课堂教学完全符合现行教材。用户可直接根据教材进行实验操作。</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2.3、化学专用软件：涵盖了初高中重点实验，起到温故知新的作用。</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2.4、生物专用软件：涵盖了初高中重点实验，起到温故知新的作用。</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2.5、传感器校准软件：根据国际计量公用应用规范，针对生物、化学传感器进行校准，以减少误差，提高精度。应用于PH、溶解氧、色度、浊度、氧化还原等传感器。</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2.6、数据导入软件：和数据显示模块配合使用，将数据显示模块的数据导入电脑进行长期保存和数据处理。</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3、应用平台：支持windows、Android、iOS系统</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传感器专用辅件</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1、含USB通讯线1条、转接器4只、传感器线4条；两端为BT插头，插口具有方向性和自锁功能插接方便、配合严密、方便教学；</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2、彩色印刷版高中实验指南书，有详细实验案例介绍（实验器材、实验装置图、实验操作步骤等）。</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铝合金箱</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尺寸≥510*340*175（mm），由铝合金主架、铝塑板面构成，内设隔断海棉内衬传感器铝合金实验箱</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教师演示讲台</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3000*700*900mm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1.全钢结构；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2.台面：采用12.7mm厚双面膜耐腐蚀实芯理化板制作，四角倒R15圆角。耐酸、耐碱、耐高温，坚固耐用，防潮、无细孔、不膨胀、不龟裂、不变形、不导电、便于维护及具有良好的承重性能；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3.柜体：采用1.0mm优质高强度镀锌钢板，采用CO2保护焊焊接，打磨处理，表面经耐酸碱EPOXY粉末烤漆处理；整体结构设计合理，预留电脑主机、键盘托、实物展台、教师电源位置；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4.拉手：采用C型不锈钢拉手，造型独特美观；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5.防撞胶垫：装于抽屉及门板内侧，减缓碰撞，保护柜体；</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6.门板及抽面：采用双层钢板，必须两层组装是设计，保证两层双面都喷涂处理，中间采用隔音材料，保证关门减少噪音；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7.耐腐蚀连接件：采用ABS专用连接组装件；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8.不锈钢防腐合页：采用优质不锈钢模具一体成型；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9.防腐三节静音导轨：三节重型滚珠滑轨，承重性强，滑动性能良好，无噪音；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10.固定桌脚：采用柜体内置可调ABS调整脚，保证调整脚前后都可以调节高低。</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★教师演示讲台技术要求满足：GB 24820-2009 实验室家具通用技术条件：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1、操作台力学性能：水平静载荷试验：技术要求：力600N，10次；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垂直静载荷试验：主桌面：力2000N，10次；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持续垂直静载荷：载荷1.25kg/dm²，24h；</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独立操作台水平冲击稳定性：质量50kg，跌落高度40mm；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独立操作台垂直加载稳定性：750N；</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活动操作台跌落：跌落高度：150mm，10次；</w:t>
            </w:r>
          </w:p>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垂直冲击试验：跌落高度：300mm，10次。</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准备台</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3000*1200*800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1.全钢结构：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2.台面：采用12.7mm厚实验室专用理化板,周边加厚至25.4mm,倒圆角处理.,防强酸强碱，耐磨耐高温；不含任何有毒物质，无辐射，受热不产生有毒气体和物质；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2、柜体、柜门、抽屉采用采用1.0mm高强度镀锌钢板。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柜体经折弯成型焊接一体成型，操作台力学性能满足：水平静载荷试验：技术要求：力600N，10次；垂直静载荷试验：主桌面：力2000N，10次；持续垂直静载荷：载荷1.25kg/dm²，24h；独立操作台水平冲击稳定性：质量50kg，跌落高度40mm；独立操作台垂直加载稳定性：750N；活动操作台跌落：跌落高度：150mm，10次；垂直冲击试验：跌落高度：300mm，10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4、抽屉导轨采用：防腐三节静音导轨。</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5、合页采用不锈钢防腐合页。</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实验室专用水槽</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550*445*300，采用实验室专用高密度PP一体化成型水槽，易清洁，耐腐蚀，且利于台面残水自然回流，美观实用；具耐酸碱、耐有机溶剂、耐紫外线等特点。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★实验室专用水槽技术要求满足：GB/T 32487-2016塑料家具通用技术条件</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1、耐老化性（室内720h）：外观颜色不低于≥4级</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三联高低位龙头</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生物学生实验桌</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1200*600*780mm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1.新型塑铝结构。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台面：采用12.7mm厚双面膜耐腐蚀实芯理化板制作，四角倒R15圆角。台面后方卡入学生桌铝型槽内，前方用预埋件与桌体固定。耐酸、耐碱、耐高温，坚固耐用，防潮、无细孔、不膨胀、不龟裂、不变形、不导电、便于维护及具有良好的承重性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3.结构：新型塑铝结构，整体1200*600*780。学生位镂空式，符合人体工程学设计，美观大方。专用书包斗ABS注塑一体注塑成型尺寸410*325*115，镂空设计，便于清理，不屯垃圾，中间设挂凳卡。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侧脚采用三段式高强度铝合金结构，整体规格580*750，立柱采用倾斜式设计，内嵌入上下铸铝件40mm，后端配备加固支撑梁，厚度为80MM.各部分连接设置专用定位件，并用高强度内六角螺丝连接，便于组装及拆卸，外观流线形设计，简洁美观，易碰撞处全部采用倒圆角，产品款式要求整体设计美观、合理、安全、牢固、耐用。金属表面经环氧树脂粉末喷涂高温固化处理。要做到承重性能强和耐酸碱、耐腐蚀。</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背部档水板、前横梁、中间横梁全部采用高强度挤出铝合金型材，各部分连接设置专用定位件，并用高强度内六角螺丝连接，便于组装及拆卸，外观流线形设计，简洁美观,易碰撞处全部采用倒圆角，产品款式要求整体设计美观、合理、安全、牢固、耐用。金属表面经环氧树脂粉末喷涂高温固化处理。要做到承重性能强和耐酸碱、耐腐蚀。</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6.桌侧脚：桌侧脚设置专用孔位与地面固定。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★生物学生实验桌技术要求满足: GB 24820-2009 实验室家具通用技术条件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1、操作台台面理化性能（1）耐磨a mg/100r：磨损值≤80，b表面情况：素色：磨350r后未出现露底现向，（2）耐划痕：1.5N，划一周，无整圈连续划痕，（3）物理实验台面抗冲击 mm：冲击高度1m。冲击凹坑直径≤10mm；</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2、甲醛释放量≤1.5mg/L</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PP一体化水槽</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450*600*250mm，水槽</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为整体模具一体成型，尺寸450*600*250，并设有溢水口，底部带S弯防臭设计，与地面下水管密封连接；水柜内前方设置检修门，整体可拆卸背板，便于维修。</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实验室专用试剂架</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2200*300*750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1.铝合金结构，表面喷涂高温固化匀乳白环氧树脂喷涂理处理，具有较强的耐蚀性能，上下带塑胶模具堵头；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2.试剂架立柱截面尺寸：42mm*82mm,型材壁厚1.2mm；试剂架立柱双面升降槽，侧面双面镶嵌另色色条；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3.试剂架托架1.0mm高强度镀锌钢板，一次性冲压成型；试剂架护栏：护栏壁厚1.2mm，单面镶嵌另色色条。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4.立杆牢固固定于C型钢架底端，层板采用8mm厚的玻璃，安装后用户可根据试剂大小上下高低无级调节。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★实验室专用试剂架技术要求满足：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1、外观要求：表面应光洁，无毛刺和快口等现象；安装牢固归正，不应有歪斜、松动现象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2、涂层要求，μm：涂层色泽均匀一致，无漏涂、色差现象；外表面任意五点的平均厚度≥30μm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3、材料要求：试剂架的任何部位均应作相应的防腐处理</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4、平面度，mm：试剂架台面的对角平面差应≤3mm；</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滴水架</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PP材质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1、整体采用PP材质，耐腐蚀性能好，抗紫外线辐射强，不易老化、脆化，韧性强，弹性好，易于安装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2、滴水架主体与集水盘由模具注塑一体成型（非PP板焊接而成），配置与滴水架同品牌的钢制背板。</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3、滴水棒卡扣与主板卡槽紧密契合，不易松动，极好地保护实验器具。</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仪器柜</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1000*500*2000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 PP材质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 柜体：侧板、顶底板采用改性PP材料增加强度，注塑模一次性成型，表面沙面和光面相结合处理,保证柜体之坚固及密封性，耐腐蚀性强。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 下储物柜门：内框采用改性PP材质注塑模一次成型, 外嵌5mm厚钢化烤漆玻璃</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 上柜视窗们：内框采用改性PP材质注塑模一次成型, 外嵌5mm厚钢化烤漆玻璃，中间烤漆镂空制作。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 层板：上部配置两块活动层板，下部配置一块活动层板，层板全部采用改性PP材质注塑模一次成型，表面沙面和光面相结合处理，四周有阻水边，底部镶嵌钢质横梁，承重力强。整体设计为活动式，可随意抽取放在合适的隔层，自由组合各层空间。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 门把手：采用经过改性PP材质注塑模一次成型，与柜门平行，开启方便。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 门铰链：采用经过射出成型的PP材料制成，耐腐蚀性好。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 螺丝：PP材质，可选不锈钢304材质</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 备注 ：可以用于各种腐蚀性化学品的储存，如硫酸、盐酸、硝酸、乙酸、硫磺酸等</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多功能实验下水装置</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整体模具一体成型，尺寸450*600*250，并设有溢水口，底部带S弯防臭设计，与地面下水管密封连接</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多功能柱</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350*230*730mm，整体采用实验室专用PP材质，四脚圆弧处理，地脚线缩进30mm，前后二块拼接而成，可拆装，内部隐藏实验线管及通风管道，方便检修。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★多功能柱技术要求满足：GB/T 32487-2016塑料家具通用技术条件</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1、耐老化性（室内720h）：外观颜色不低于≥4级</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安全光源</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不锈钢LED灯，支架采用不锈钢材质，灯管角度可以自由调节，灯管采用LED灯，光照亮度温和，使用寿命长。</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学生安全电源</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92*152mm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1.工作环境：温度-10ºC~+40ºC 相对湿度&lt;85％（25ºC）海拔&lt;4000M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2.市电AC220V/3A输出为2个新国标五孔插座。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3.学生电源采用耐磨、耐腐蚀、耐高温（≤140℃）的PC亮光薄膜面板，学生电源的控制采用“电容式”触摸键盘，贴片元件生产技术，微电脑控制，采用1.54寸液晶显示电源学生交直流电压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4.直流稳压电源：液晶显示，触摸按键调节，1.5-24V/2A，电压调节分辨率为0.1V。</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5.交流低压电源：液晶显示，触摸按键调节，1-24V/2A，电压调节分辨率为1V</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6.学生低压电源都可接收老师发送的锁定信号，教师主控在锁定指示灯点亮后，学生只能接收老师输送的设定电源电压，学生自己无法操作，这样可避免学生的误操作。</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教师演示电源</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500*260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1.教师演示台配备总漏电保护和分组保护，可分组控制学生的高低压电源，确保学生实验安全方便；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2.教师电源总控采用7寸"电阻式"液晶屏，显示智能控制按键同时显示电源电压；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3.教师交流电源通过智能控制按键直接选取0～24V电压，最小调节单元可达1V,额定电流3A；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4.教师直流电源也是通过智能控制按键直接选取，调节范围为1.5～24V，分辨率可达0.1V,额定电流3A；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5.低压大电流值为40A，自动关断；</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6.220V交流输出为带安全门的新国标插座，带有电源指示，学生低压交流电源可通过智能控制按键直接选取0～24V电压，最小调节单元为1V，组输送至学生桌；低压直流电压教师能准确控制，最小调节单元为0.1V。</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Φ315*450-500mm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1、凳脚材质：4个凳脚采用17×34×1.7mm 无缝钢管模具一次成型。全圆满焊接完成，结构牢固，经高温粉体烤漆处理，长时间使用也不会产生表面烤漆剥落现象 螺旋升降式，升降距离为50mm，最高离地距离为500mm。Ф凳面直径315×高450-500mm，2、聚丙烯凳面材质：采用聚丙烯共聚级注塑。表面细纹咬花，防滑不发光，凳面底部镶嵌4枚铜质螺纹，采用不锈钢螺丝与圆型托盘固定。3、脚垫材质：采用PP加耐磨纤维增强塑料，实心倒勾式一体射出成型 凳面与凳脚留有一定的空间便于凳子挂在挂凳扣上。方便教室的打扫。</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★实验凳技术要求满足:GB/T 3325-2017金属家具通用技术条件</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1、可溶性重金属：1、可溶性铅≤90mg/kg，未检出；2、可溶性镉≤75mg/kg，未检出；3、可溶性铬≤60mg/kg，未检出；4、可溶性汞≤60mg/kg，未检出；</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智能系统控制柜</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500*200*1250mm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智能控制柜：内置总电源开关1个，漏电保护器一个，电源保护器1个，单片机控制器及功能扩展模块1套，单片机保护模块1个、急停控制系统1个，工作指示灯系统1套（每个学生电一个指示灯，老师随时掌握学生漏电保护器通短），分组控制系统3套（电源控制系统、照明控制系统、给排水控制系统）。</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（1）电源控制系统：可以对220V进行控制，可以单独进行控制，进行单选、全选、反选，分组进行控制；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（2）照明控制系统可以对照明进行控制，可以单独进行控制，进行单选、全选、反选，分组进行控制；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给排水控制系统：给水系统：设有每个学生设有给水控制阀门，可以对给水进行控制，可以单独进行控制，进行单选、全选、反选，分组进行控制，教师可以方便对全室供水系统进行控制，学生功能板处设置给水接口，接口与学生水槽柜采用优质硅胶软管连接，接口均采用自动锁紧插拔式连接方式，用时接上，不用时可收起。自动排水系统：所有排水由智能化控制系统集中控制，学生功能板处设置排水接口，接口与学生水槽柜采用优质硅胶软管（具有防酸、防碱、耐腐蚀功能）连接，接口均采用自动锁紧插拔式连接方式（拔掉时没有污水流出），用时接上，不用时可收起；</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(4)、智能摇臂控制系统：可以对摇臂进行控制，可以单独进行控制，进行单选、全选、反选，分组进行控制。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★智能系统控制柜技术要求满足：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1、标志：调节装置、输出插孔应有清晰明了、耐用的提示文字和符号；电压输出应能显示电压表上。</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2、电压调节范围，V.:AC/DC:0～24V;</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3、内部导线连接：连线后应无应力；黄绿双色线必须是接地端子，部件固定牢固，无松动现象。</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4、电压指示精度，V:显示值与输出值之间的误差应在±2V以内。</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顶装智能控制平台</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规格：10寸触摸屏。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集中控制系统。可执行各分项分页控制；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（1）供水控制：集中控制整室给排水；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（2）照明控制：分组控制整室照明；</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（3）电源控制：控制学生AC220V电源；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（4）摇臂控制：可以实现单个控制，可以集中控制，可以任意组合控制。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★顶装智能控制平台技术要求满足：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1、标志：调节装置、输出插孔应有清晰明了、耐用的提示文字和符号，电压输出应能显示在电压表上；内部布线接线端子应有文字或符号明示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2、内部导线连接：连接后应无应力；黄绿双色线必须是接地端子；部件固定牢固，无松动现象；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3、漏电保护：输入端应有漏电保护断路装置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4、接地措施：接地电阻≤0.1Ω；绝缘电阻≥7MΩ；变压器、插座应可靠接地</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5、发热，K：变压器在1.06倍额定电压（233.2V）工作至温度状态，其绕组温升≤90K</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6、操作性：各按组插座、开关工作有效，无影响正常工作和安全的异常现象；指示灯正常，无闪烁、损坏现象；漏电开关经试验后电路能正常断开；电压指示正常，无闪烁和损坏现象</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7、电压设置性能指示性：电压按设定值输入确认后，显示和输出应一致；电压设定值与实际输出值得误差应≤10%；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学生端分组控制终端</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可以对学生端模块的电源控制系统、照明控制系统、给排水控制系统、智能摇臂控制系统经行独立分组控制，实现全选、反选、单选功能</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远程控制系统</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A、APP登入有网络注册功能，注册后登入系统操作，使用者忘记密码方便找回，同时方便升级系统，带来新的体验。</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B、能使用APP能控制总电源关闭；</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C、APP能显示当前温度、相对湿度及当前时间；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D、使用APP能控制学生低压电源的交流电压，且电压值为实测值。如APP给学生交流3V，学生电源电压实测电压为3V；</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E、使用APP同时控制水电风光源开启与关闭，同时可以扩展功能（监控布防、空调控制等等）</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温湿度监视设备</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内置精密温湿度传感装置，实时监控房间内的温度和湿度，保障室内舒适的环境舒适性，在触摸屏中实时显示当前环境的温度和湿度。</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智能摇臂升降设备</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动力采用为直流24V减速低压电机，连接杆采用DN60*1.8mm专用铝合金模具一体成型，内部水电分离，功能模块采用模具一体成型，功能模块可安装高低压电源（低压电源为交直流，可以显示交直流电压）、急停开关，可选配网络及上下水模块，同时可以扩展煤气等模块。系统自带障碍物保护功能，当摇臂在运动的过程中遇到障碍物时会自动复位；摇臂在运动的过程中供应模块的电源处于断电状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★技术要求满足：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1、外观要求：各部件应进行防腐处理；可触及部位应无毛刺，飞边，快口等缺陷；外壳加工规整，无明显敲击和机械损伤；部件的定位应可靠，不应有窜动、歪斜、工作卡阻等影响使用的缺陷</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2、主体金属材料硬度，HV1：≥180HV1</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3、防护涂层的要求，μm：涂层表面光滑，颜色、色泽应基本一致，无气泡，不脱落，任意五点的平均厚度应≥100μm，经2H铅笔硬度试验后，涂层应无明显痕迹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4、运行稳定性：经升降200次试验后，运行应无异常现象发生；</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模块主架舱体</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1200*720*195mm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采用标准模块化组成，1200*720*195mm为一组；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外形及材质：主框架采用航空飞碟式设计1.8MM-3mm厚铝合金模具成型表面经环氧树脂粉末喷涂高温固化处理，舱体下部采用镀锌钢板配色成型，左右装饰条采用实验室专用铝合金模具型材，表面经环氧树脂粉末喷涂高温固化处理。具有阻燃性强和耐酸碱、耐腐蚀，光泽度好，美观大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★模块主架舱体技术要求满足：GB/T 3325-2017金属家具通用技术条件</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金属喷漆（塑）涂层理化：1、硬度≥H；2、冲击强度：冲击高度400mm,无剥落、裂纹、皱纹；3、耐腐蚀：100h内，观察在溶液中样板上划道两侧3mm以外，无鼓泡产生；100h后，检查划道两侧3mm外，无锈迹、剥落、起皱、变色和失光等现象；4、附着力：应不低于2级</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集成功能模块舱体</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采用ABS材质，模具一体成型。模块内部采用双层设计，水电隔离设计，相互不干扰，保证设备安全可靠性。模块内预留高压、低压、网络、上下水接口位置。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★集成功能模块舱体技术要求满足：GB/T 3325-2017金属家具通用技术条件</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金属喷漆（塑）涂层理化：1、硬度≥H；2、冲击强度：冲击高度400mm,无剥落、裂纹、皱纹；3、耐腐蚀：100h内，观察在溶液中样板上划道两侧3mm以外，无鼓泡产生；100h后，检查划道两侧3mm外，无锈迹、剥落、起皱、变色和失光等现象；4、附着力：应不低于2级</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电源供应模块</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220V，接收智能化控制系统控制，内含新国标插座。可以分组或独立控制电源供给。</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0-24V</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1、教师主控型，学生低压电源都可接收主控电源发送的锁定信号，在锁定指示灯点亮后，学生接收老师输送的设定电源电压，教师锁定时,学生自己无法操作，这样可避免学生的误操作。可以分组或独立控制；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2、学生电源采用耐磨、耐腐蚀、耐高温的PC亮光薄膜面板，学生电源的控制采用按钮式按键，可以随意设置电压，贴片元件生产技术，微电脑控制，采用1.38寸液晶显示电源学生交直流电压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3、学生交流电源通过上下键0～24V电压，最小调节单元可达1V,额定电流2A；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4、学生直流电源也是通过上下键选取，调节范围为1.5～24V，分辨率可达0.1V,额定电流2A。</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采用485网络模块接口，不含网络布线；</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学生端防堵反冲洗装置</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水采用4分PVC水管，具有耐酸碱、防爆的特性，水管之间接头采用金属连接件，安装自来水大流量反冲前置过滤器，避免自来水水质不干净；排水采用内置钢丝PVC水管，防止水泵工作时水管负压变形，水管之间接头采用金属连接件</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学生端给排水接口</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4分，PVC材质，给排水接头采用美国进口,具有耐酸碱，拔插轻松，不生锈；即插即用，带自动锁紧插功能，即使在供水排水工作时，随时拔掉接口不会有任何滴漏现象。</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自动给排水设备</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4分，采用自主研发，当给水开关打开时，排水自动启动，水槽水低位时，排水自动关闭，设定时间内自动检测排水管水位，当排水管有水时，排水自动抽完，如果排水管未检测到水，水泵自动关闭。</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全新钢塑水槽柜1</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1、尺寸：438*600*855mm；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2、结构：三段组合式结构，分为水槽、柜体、地脚三部分；整体造型美观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水槽：采用具有抗弯曲、抗拉伸、抗压强度；不导电、抗老化、耐高温、耐腐蚀、性能稳定、具备良好的阻燃性GFRP纤维增强塑料，内外双层设计，模具一次成型。水槽后侧台面上设计有点状的沥水点，水槽前沿高度低于两侧及后部70mm，为不同年级段的使用者提供便利。底部带S弯防臭设计，可接触面都做圆角处理，无安全隐患。水槽后部有设计三级滤网设计，保证下水的流畅性。不锈钢上下水面板，自带上下快速接口。</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内置式扬程水泵，新型环保增压水泵，不生锈，无铅无重金属，无毒无味，符合饮用水标准；电压，24V，功率，60W，流量，12L/min，高效节能，安装体积小；具有防水，防漏电，防腐蚀，防空转，自带止回阀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5、柜体：采用1.0mm优质高强度镀锌钢板制作，经切割、圆角折弯、焊接、打磨成型，表面经环氧树脂喷涂处理，耐酸碱；柜门圆弧设计。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6、地脚：采用PP材质，磨具一次成型，耐酸碱。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★全新钢塑水槽柜技术要求满足：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1、外观要求：外表面光洁，色泽清晰，人体触及部位应无毛刺，快口，棱边等缺陷；金属件均应进行电镀，喷涂等防腐处理；金属件成型完整，无裂纹，凹坑、皱折等缺陷；塑料件色泽一致，无缺角、回料斑、缩痕、溢料、变形等缺陷；</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2、焊接要求：焊点美观，焊接可靠，平整，无穿孔等不良现向；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3、平整性，mm：底座与上台面定位应可靠，平整，连接件无松动，歪斜等装配缺陷；底平面和台面的高低差应≤4mm；</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4、封闭门盖要求：安装，拆卸便利，各卡口定位有效可靠，安装后应平服，不应有自行脱落和翘曲现向。</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双联折叠龙头</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联定制型鹅颈式实验室专用水嘴；鹅颈出水管采用直径25mm铜质加厚铜管弯制成型，铜质出水水咀采用螺纹式安装，可方便拆卸；开关手柄采用PP旋转式手柄，两个出水鹅颈可以向前折叠，不用时可以掩藏在水槽柜内。上水接口自带成型螺纹，可方便连接上水软管。</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主架舱体防尘检修板</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1200*500*1mm</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采用1.0mm优质高强度镀锌钢板，采用那个CO2保护焊焊接，打磨处理，表面经耐酸碱EPOXY粉末烤漆处理（烤漆膜厚度平均值≥70μm）；造型独特美观，检修方便。</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智能灯光照明装置</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接收智能化控制系统控制，功能面板采用1170*85mm，配置LED日光灯1根，每根15W，灯罩采用ABS一次成型，设计安装磨砂透明均光板，不仅能使光线扩散均匀更能起到安全防护作用。</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电源供应线路</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模块化设计，每组模块间采用活接式连接，方便安装、检修。采用2.5mm²电线进行系统布线。</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智能控制系统线路</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模块化设计，每组模块间采用活接式连接，方便安装、检修。采用1.mm²屏蔽电线进行系统布线。</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给水管路</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给水主管选用φ20-32mmPP-R给水管，模块化设计，每组模块间采用活接式连接，方便安装、检修。</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排水管路</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排水管选用加厚φ50-75mmPVC-U国标管（具有防酸、防碱、耐腐蚀功能），模块化设计，每组模块间采用活接式连接，方便安装、检修。</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舱体末端封板</w:t>
            </w:r>
          </w:p>
        </w:tc>
        <w:tc>
          <w:tcPr>
            <w:tcW w:w="6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采用ABS材质，模具一体成型。</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支架功能封板</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能隐藏水电通风管道及电线，采用PVC材质，方便检修。</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支架</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采用碳钢丝杠及专业连接件、直角座、龙骨架连接件、吊装挂件、安装连接板等。</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★支架技术要求满足：1、抗拉强度Rm，MPa，/；检测结果≥150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间</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辅件</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采用双槽钢横梁吊装方式，减少楼板承重，防止左右晃动，可进行上下、左右的平衡调节，实验功能板离地2m左右，主要辅件有：槽钢等</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间</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系统调试</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系统调试：</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1、吊顶式系统采用模块化结构设计，采用吊装安装方式；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2、系统结构调试；</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3、系统控制调试；</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4、给排水调试；</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5、供电系统调试；</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6、照明系统调试。</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顶装安装</w:t>
            </w:r>
          </w:p>
        </w:tc>
        <w:tc>
          <w:tcPr>
            <w:tcW w:w="6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标准化安装</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数据采集器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1、模块化结构，透明外壳设计，内含状态、电源指示灯；</w:t>
            </w:r>
          </w:p>
          <w:p>
            <w:pPr>
              <w:keepNext w:val="0"/>
              <w:keepLines w:val="0"/>
              <w:widowControl/>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2、与计算机采用USB2.0通讯协议，四路全数字通道，单通道最大采样率20KByte，采集器最大采样率80KByte，数字通道采样精度达5微妙；</w:t>
            </w:r>
          </w:p>
          <w:p>
            <w:pPr>
              <w:keepNext w:val="0"/>
              <w:keepLines w:val="0"/>
              <w:widowControl/>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3、通过USB接口供电，无需外接电源，所有端口具备防静电保护功能；</w:t>
            </w:r>
          </w:p>
          <w:p>
            <w:pPr>
              <w:keepNext w:val="0"/>
              <w:keepLines w:val="0"/>
              <w:widowControl/>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4、与传感器采用BT自锁接口，支持热插拔，即插即用，传感器可以任意组合，采集分辨率12bits；</w:t>
            </w:r>
          </w:p>
          <w:p>
            <w:pPr>
              <w:keepNext w:val="0"/>
              <w:keepLines w:val="0"/>
              <w:widowControl/>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5、内置双处理器主板，CPU主频48Mhz；支持有线/无线状态下的四通道并行采集；</w:t>
            </w:r>
          </w:p>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6、采用插接式结构，可根据实验教学需要，方便有线、无线工作模式切换。</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无线接口</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采用无线方式接入四种传感器并支持四通道并行采集，全数字通道，与数据采集器接插使用。在此种工作状态下，传感器应配合无线发射模块使用</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传感器无线发射模块</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通过与各种传感器组合使之具备与采集器的无线通讯功能。BT自锁接头，支持热插拔连接，可充电电池供电。</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传感器数据显示模块</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1、模块化设计既可以与传感器通过BT接口连接，也可以与计算机通过USB直接连接。数据的获取和上传无需通过数据采集器即可实现；</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2、自带不小于1.77寸彩色LED屏，可实时显示传感器数据；</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3、自动识别传感器及测量范围和分度。无需按键调控，简洁、美观、实用，减少因按键失灵造成的实验功能缺失；</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4、接口采用BT接口连接，自带锁扣，有效防止脱落。同时具有单向连接属性，避免因连接失误导致的数据传输失败。支持热插拔，使用寿命：不少于10000次插拔；</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5、自带不小于8M内存；</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数据上传有线模式：数据显示模块自带miniUSB接口，可与计算机连接。通过软件将数据上传并自动绘制变化图像。导出数据以Excel形式保存，图像可以图片的形式保存。可用于编制实验报告上传至实验评测系统进行数据统计及分析（也可结合学校实际情况上传至云端服务器）；</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7、数据上传无线模式：设备自带二维码，可用移动手持终端（手机、平板等）通过移动端实验软件扫描，导出实验数据，并绘制变化图线；</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8、自带可充电锂电池，最大电池容量不低于1100MAh。全铜触点，双保电芯，自动锁电。3.7V。满电最大待机续航时间不少于240h。可通过专用充电器完成充电，也可通过数据上传有线模式完成充电。</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传感器转接模块</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两端分别是BT接头与BT接口转换器，用于特种传感器与无线发射模块或数据显示模块的转接</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温度传感器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1、测量范围：-50℃～200℃；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2、分度：0.1℃；</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3、不锈钢探针，可测各种物体或溶液的温度；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土壤湿度传感器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量范围：0~100%，分度：0.1%，支持与采集器的有线通讯、无线通讯和独立数据显示三种工作方式；传感器自带M6螺纹孔，轻松实现与多种实验装置的组装固定；传感器连接线插口具有方向性和自锁功能，可以防止传感器脱落保证数据传输稳定。（支持Windows、Android、苹果系统）</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土壤温度传感器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量范围：-40℃~+60℃，分度：0.1℃，支持与采集器的有线通讯、无线通讯和独立数据显示三种工作方式；传感器自带M6螺纹孔，轻松实现与多种实验装置的组装固定；传感器连接线插口具有方向性和自锁功能，可以防止传感器脱落保证数据传输稳定。（支持Windows、Android、苹果系统）</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相对压强传感器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1、测量范围：-20kPa~+20kPa；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2、分度：0.01 kPa；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3、可用于测量气体的相对压强；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相对湿度传感器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1、测量范围：0～100%；</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2、分度0.1％；</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3、测量灵感件置于探管中，便于测量罐体的湿度值；</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4、自带传感器固定口，便于传感器固定；</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5、自带硬件调零按钮；</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6、模块化设计，可与有线接口、无线发射模块、数据显示模块连接，实现有线通讯、无线通讯、独立彩屏数据显示三种工作模式；</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7、采用BT接口，自带锁扣，有效防止脱落。同时具有单向连接属性，避免因连接失误导致的数据传输失败。支持热插拔，使用寿命：不少于10000次插拔；</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微电流传感器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1、测量范围：-5μA～5μA；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2、分度：0.01μA；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3、鳄鱼夹导线，便于与多种电学仪器连接；</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双量程光照度传感器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测量范围：0 lx～5000lx～50000lx，分度：1 lx、10 lx，通过按钮切换量程，支持与采集器的有线通讯、无线通讯和独立数据显示三种工作方式;传感器自带M6螺纹孔，轻松实现与多种实验装置的组装固定；（支持Windows、Android、苹果系统）</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pH传感器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1、测量范围：0-14；</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2、分度：0.01，</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3、具有快速响应的特点，测量数据能在5秒内达到真实值的90%， 10秒内稳定；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8、可在windows、iOS、鸿蒙和安卓系统（手机或平板）下进行实验。</w:t>
            </w:r>
          </w:p>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eastAsia="宋体" w:cs="宋体"/>
                <w:color w:val="000000"/>
                <w:sz w:val="18"/>
                <w:szCs w:val="18"/>
                <w:lang w:val="en-US" w:eastAsia="zh-CN"/>
              </w:rPr>
              <w:t>以上参数需提供相关证明文件</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电导率传感器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 mS/cm～20mS/cm；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2、分度：0.001 mS/cm；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氧气传感器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1、测量范围：0～30%；</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2、分度：0.01%；</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3、自带硬件校准按钮；</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4、模块化设计，可与有线接口、无线发射模块、数据显示模块连接，实现有线通讯、无线通讯、独立彩屏数据显示三种工作模式；</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5、采用BT接口，自带锁扣，有效防止脱落。同时具有单向连接属性，避免因连接失误导致的数据传输失败。支持热插拔，使用寿命：不少于10000次插拔；</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6、可在windows、iOS、鸿蒙和安卓系统（手机或平板）下进行实验。</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eastAsia="宋体" w:cs="宋体"/>
                <w:color w:val="000000"/>
                <w:sz w:val="18"/>
                <w:szCs w:val="18"/>
                <w:lang w:val="en-US" w:eastAsia="zh-CN"/>
              </w:rPr>
              <w:t>以上参数需提供相关证明文件</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溶解氧传感器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 mg/L～20mg/L；</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2、分度：0.01 mg/L；</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3、带有温补功能；</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4、自带传感器固定口，便于传感器固定；</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5、自带硬件调零按钮；</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6、模块化设计，可与有线接口、无线发射模块、数据显示模块连接，实现有线通讯、无线通讯、独立彩屏数据显示三种工作模式；</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7、采用BT接口，自带锁扣，有效防止脱落。同时具有单向连接属性，避免因连接失误导致的数据传输失败。支持热插拔，使用寿命：不少于10000次插拔；</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8、可在windows、iOS、鸿蒙和安卓系统（手机或平板）下进行实验。</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eastAsia="宋体" w:cs="宋体"/>
                <w:color w:val="000000"/>
                <w:sz w:val="18"/>
                <w:szCs w:val="18"/>
                <w:lang w:val="en-US" w:eastAsia="zh-CN"/>
              </w:rPr>
              <w:t>以上参数需提供相关证明文件</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二氧化碳传感器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 ppm～50000ppm；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2、分度1ppm；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3、红外原理，为保证测量数据准确性和时效性，要求该传感器采用泵动循环，方便气体循环；</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8、可在windows、iOS、鸿蒙和安卓系统（手机或平板）下进行实验。</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eastAsia="宋体" w:cs="宋体"/>
                <w:color w:val="000000"/>
                <w:sz w:val="18"/>
                <w:szCs w:val="18"/>
                <w:lang w:val="en-US" w:eastAsia="zh-CN"/>
              </w:rPr>
              <w:t>以上参数需提供相关证明文件</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色度传感器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1、测量范围：透光率0～100％；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2、分度：0.1％，三波长光源（R、G、B）测量；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二氧化硫传感器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 ppm～20ppm，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2、分度0.01 ppm；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气态酒精传感器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1、测量范围：0mg/L～2mg/L；</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2、自带传感器固定口，便于传感器固定；</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3、自带硬件调零按钮；</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4、模块化设计，可与有线接口、无线发射模块、数据显示模块连接，实现有线通讯、无线通讯、独立彩屏数据显示三种工作模式；</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5、采用BT接口，自带锁扣，有效防止脱落。同时具有单向连接属性，避免因连接失误导致的数据传输失败。支持热插拔，使用寿命：不少于10000次插拔；</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氧化还原传感器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1、测量范围：-500mV～1200mV；</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2、分度：1mV；</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3、自带传感器固定口，便于传感器固定；</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4、自带硬件调零按钮；</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5、模块化设计，可与有线接口、无线发射模块、数据显示模块连接，实现有线通讯、无线通讯、独立彩屏数据显示三种工作模式；</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6、采用BT接口，自带锁扣，有效防止脱落。同时具有单向连接属性，避免因连接失误导致的数据传输失败。支持热插拔，使用寿命：不少于10000次插拔；</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心电图传感器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1、测量范围：-5mV ～5mV</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2、用于生成EKG曲线，能清晰的显示出人体P波、QRS波、T波与U波，可通过RR间期计算出心率</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3、尺寸：不大于80mm*41mm*25（±5mm,不含电极夹具）</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7、支持系统：windows、Android、iOS系统</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心率传感器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1、测量范围：0次～200次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2、可通过专用软件实时显示心率大小以及心电心率波形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3、尺寸：不大于80mm*41mm*25（±5mm,不含电极夹具）</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7、支持系统：windows、Android、iOS系统</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呼吸率传感器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1、满足人体生理特征；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学生健康指标测量设备</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收纳袋、采集器、呼吸率传感器（含胸带、加压球）、皮肤电阻传感器、耳蜗式无线体温传感器、心电图传感器(含红色电极夹1只、黄黑色电极夹1只、导联线1条)、血压/心率传感器、充电器（含microUSB数据线2条）、使用说明组成。可同时测量体温、血压、心率、呼吸率、皮肤电阻、心电图共6项人体生理指标。配套专用软件，用手机或平板扫描采集器面板上的二维码进入生理指标测量界面，软件功能需包含测量档案（可以查看历史数据）、学生档案（用于录入学生信息）、探究结论（用于展示探究活动的数据，通过比较分析数据得出结论）、结束探究。</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气液相密封实验器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与生物化学传感器密闭连接，可完成陆水生植物光合作用、种子萌发、呼吸作用、酶的特性等实验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袖珍生化密封实验器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与生物化学传感器密闭连接，可完成陆水生植物光合作用、种子萌发、呼吸作用、酶的特性等实验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多用途生化传感器支架</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机械臂、传感器电极夹及固定夹组成，机械臂固定在实验台边，能在三维空间内灵活移动并准确定位，稳定性好；电极夹口径适合常用生化传感器的电极，方便生化实验操作，具有保护传感器不受损坏、提高空间利用率和实验效率功能。机械臂长度：800mm</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多向转接头</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零件，双向交叉，孔内径适应于标准铁架台</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酶的高效性实验器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由Y型管和胶塞总成构成，配合相对压强传感器使用进行生物酶的特性等实验。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多用途密封塞</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配合压强传感器、温度传感器、二氧化碳传感器、氧气传感器使用，可以与实验室常用玻璃容器结合。</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电磁搅拌器</w:t>
            </w:r>
          </w:p>
        </w:tc>
        <w:tc>
          <w:tcPr>
            <w:tcW w:w="69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可控转速，适合中和滴定、溶液多种参数测量实验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实验软件</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1、为数字化实验分析软件软件。用于数据收集和结果分析。</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2、包含教材通用软件、物理教材专用软件、化学专用软件、生物专用软件、传感器校准软件与数据导入软件六个部分。</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2.1、通用软件：</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可实现传感器数据的自动识别及控制：传感器接入后自动识别测量种类、测量范围、分度、单位、通道序号等。可改变传感器的显示方式：数字表、模拟表、示波。可根据实验调整传感器的采样频率、开始与暂停、字体颜色、字号大小、调零、示波图线的移动及大小。</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组合图线：拥有2个完全相同的组合图线显示窗口，可并行使用。通过该功能的应用可完成基于传感器的实时数据变化的描绘和计算表格数据描绘及分析、处理等操作。数据的分析及处理包括：拟合、求导、积分、统计、包格线等。可通过回访功能重复观察实验的变化规律。对图像可根据实验进行放大、缩小。可对引用的传感器进行同步的停止和开始，达到很好的同时性；可对引用的传感器进行同步的调零，达到很好的一致性；可对引用的传感器进行同步采样频率调整，达到很好的精确性；</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计算表格：可自动识别接入的传感器，并按照接入的通道自动标号。可通过变量、公式、求平均、绘图等按钮对数据进行处理。根据不同的实验要求可选择自动记录和手动记录。自动记录可调整时间间隔、选择采样条件，手动记录可根据需要进行点击记录，有效减少无效数据对实验结果的干扰。可引用现有实验模板也可DIY实验模板，并保存。支持表格的复制、粘贴、剪切。具备放大缩小功能，还支持打印机直接引用（无需退出实验软件），进行结果打印。实验结果可通过Excel形式进行保存。也可将保存的数据多次调用。</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（4）实验录制：可同时将实验操作过程和软件的实验界面进行同屏录制，实现了实验现象和数据的对应。解决了数字实验无现象的难题（为减少软件操作复杂性，用其他软件录屏视为功能性缺失。）</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物理专用软件：界面简洁、风格独特、一键OK的特点。Y涵盖了人教、粤教、鲁科等教材的重点实验。明确了实验题目，使用时直接接入传感器即可。大大的方便了课堂教学完全符合现行教材。用户可直接根据教材进行实验操作</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2.3、化学专用软件：涵盖了初高中重点实验，起到温故知新的作用。</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2.4、生物专用软件：涵盖了初高中重点实验，起到温故知新的作用。</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2.5、传感器校准软件：根据国际计量公用应用规范，针对生物、化学传感器进行校准，以减少误差，提高精度。应用于PH、溶解氧、色度、浊度、氧化还原等传感器。</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2.6、数据导入软件：和数据显示模块配合使用，将数据显示模块的数据导入电脑进行长期保存和数据处理。</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3、应用平台：支持windows、Android、iOS系统</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传感器辅件</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1、含USB通讯线1条、转接器4只、传感器线4条；两端为BT插头，插口具有方向性和自锁功能插接方便、配合严密、方便教学；</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2、彩色印刷版高中实验指南书，有详细实验案例介绍（实验器材、实验装置图、实验操作步骤等）。</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铝合金箱</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尺寸≥510*340*175（mm），由铝合金主架、铝塑板面构成，内设隔断海棉内衬传感器铝合金实验箱</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教师端数码显微镜</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1.为确保使用者人身安全，仪器应为低压供电，标配19V低压供电电源适配器, 确保使用者人身安全；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 ★一体化设计，仪器拆包装箱接上电源即可使用，无需再进行目镜、物镜及其他部件的组装；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 ★自带液晶屏，液晶屏与机身一体式设计，拆开包装，液晶屏与机身已完好链接，非分体式设计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 ★安全提手,为确保仪器挪动过程中的安全性，机身上方设置明确提手，提起时仪器正置以避免目镜及载物台上的物体跌落；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 为确保仪器使用的稳定性及安全性，所有数据接口以及电源接口设置在仪器底座背面。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 数码功能 显微镜拍照像素：≥800万像素；录像分辨率：≥1080P/30FPS；</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7.画面无拖尾及延迟现象，仪器本身可实现照片和视频回放功能；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 ★液晶显示屏  尺寸和参数：10.1寸高清触摸液晶屏，屏幕分辨率1920×1200；水平旋转性能：中轴旋转角度270°:顺时针可转动180°逆时针旋转90°,有自锁功能有限位,避免转动角度过大、失灵；上下翻转性能：上下翻转角度可达180°；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 ★ 一机多功能：既有生物显微镜功能，又有实体显微镜功能；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10.仪器为Android8.1.0操作系统，营运内存为2G，存储内存为16G；所拍摄的显微照片及视频可存储于仪器中；通过USB接口接入U盘时，数据优先存储于U盘中，便于实验数据保存及转移；</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11，具有在观察画面上进行标注的功能，支持使用涂鸦、直线、圆形、文字等方式标注，并生成图片保存；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 数据接口：IEEE802.3标准RJ45接口，USB接口，同时支持WIFI；搭配使用电脑端显微互动软件，同步传输显微观测画面至电脑端，以实现高清显微点播教学，方便教学指导；；</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 有仪器坐标对比测量和定点测量功能、进一步加强对观察物体的了解。</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 ★配备外倾式四孔物镜转换器；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15. 生物显微镜物镜：无限远平场消色差4×、无限远平场消色差10×、无限远平场消色差40×（弹簧）；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实体显微镜物镜：无限远平场消色差1×；</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16.目镜：10X/Φ20mm；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 调焦机构：粗微动同轴调焦，左右两侧均有粗调与微调手轮， 调焦行程（载物台升降行程）≥50mm，有防滑装置；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 照明装置：内置LED底光源 、内置LED侧光源；</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 仪器底座设置有液晶显示调光系统，可通过一键式按压旋钮实现光源切换，亮度调整以及开关机，指示屏支持亮度级别显示、中文光源提示等功能。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20.载物台：双层移动平台；</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21.聚光镜：插入式聚光镜；</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学生端数码显微镜</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主要技术指标：</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1.为确保使用者人身安全，仪器应为低压供电，标配19V低压供电电源适配器, 确保使用者人身安全；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 ★一体化设计，仪器拆包装箱接上电源即可使用，无需再进行目镜、物镜及其他部件的组装；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 ★自带液晶屏，液晶屏与机身一体式设计，拆开包装，液晶屏与机身已完好链接，非分体式设计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 ★安全提手,为确保仪器挪动过程中的安全性，机身上方设置明确提手，提起时仪器正置以避免目镜及载物台上的物体跌落；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 为确保仪器使用的稳定性及安全性，所有数据接口以及电源接口设置在仪器底座背面。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 数码功能 显微镜拍照像素：≥800万像素；录像分辨率：≥1080P/30FPS；</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7.画面无拖尾及延迟现象，仪器本身可实现照片和视频回放功能；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 ★液晶显示屏  尺寸和参数：10.1寸高清触摸液晶屏，屏幕分辨率1560*1600；水平旋转性能：中轴旋转角度270°:顺时针可转动180°逆时针旋转90°,有自锁功能有限位,避免转动角度过大、失灵；上下翻转性能：上下翻转角度可达180°；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 ★ 一机多功能：既有生物显微镜功能，又有实体显微镜功能；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10.仪器为Android8.1.0操作系统，营运内存为2G，存储内存为16G；所拍摄的显微照片及视频可存储于仪器中；通过USB接口接入U盘时，数据优先存储于U盘中，便于实验数据保存及转移；</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11，具有在观察画面上进行标注的功能，支持使用涂鸦、直线、圆形、文字等方式标注，并生成图片保存；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 数据接口：IEEE802.3标准RJ45接口，USB接口，同时支持WIFI；搭配使用电脑端显微互动软件，同步传输显微观测画面至电脑端，以实现高清显微点播教学，方便教学指导；；</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 有仪器坐标对比测量和定点测量功能、进一步加强对观察物体的了解。</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 ★配备外倾式三孔物镜转换器；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 生物显微镜物镜：无限远平场消色差4×、无限远平场消色差10×、无限远平场消色差40×（弹簧）；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16.目镜：10X/Φ18mm；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 调焦机构：粗微动同轴调焦，左右两侧均有粗调与微调手轮， 调焦行程（载物台升降行程）≥50mm，有防滑装置；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 明装置：内置LED底光源 、内置LED侧光源；</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 仪器底座设置有液晶显示调光系统，可通过一键式按压旋钮实现光源切换，亮度调整以及开关机，指示屏支持亮度级别显示、中文光源提示等功能。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20.载物台：双层移动平台；</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21.聚光镜：插入式聚光镜；</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显微互动系统</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互动教学软件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功能：学生端可以通过显微镜自带屏幕观察，并通过网络数据线连接，将25台数码显微镜图像，经过高速传输处理器汇集后输入电脑，教师端通过图像互动系统，实现多视频实时传输、实时显示，保证速度流畅、画质清晰。</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1、屏幕广播：教师直接调用各类多媒体教学资源，同步广播给学生，丰富课堂教学内容。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2、学生演示：教师随时指定某个学生，将其答题或演示过程同步广播给其他学生，开展示范教学。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3、共享白板：教师与全体或指定的学生共同完成一项学习任务，如：观察生物结构时候，学生可以手写，也可书面答题后拍照提交。</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4、分组教学：教师快速将学生分成若干小组，并针对不同主题推送教学资料，小组成员之间可以通过文字、图片、语音等方式讨论并完成学习任务。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5、抢答竞赛：文字、图片、音频、视频等均可作为抢答问题的素材，学生触摸屏幕即可完成举手和抢答过程，真正调动课堂气氛</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6、随堂小考：不用在黑板书写，教师实时了解所有学生的解答结果，并立即生成统计图表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7、答题卡考试：直接调用任何格式的文档、图片作为考试内容，只需简单编辑答题卡即可进行小测验</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8、对比教学：教师端可以任意选取2个以上学生视频图像，或者学生和教师视频图像，进行2、4、8、9、16、20、36个动态比较，直观比较，提高教学效果。</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显微互动装置</w:t>
            </w:r>
          </w:p>
        </w:tc>
        <w:tc>
          <w:tcPr>
            <w:tcW w:w="6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全千兆专用端口</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教师演示讲台</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2400*700*900mm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1.全钢结构；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2.台面：采用12.7mm厚双面膜耐腐蚀实芯理化板制作，四角倒R15圆角。耐酸、耐碱、耐高温，坚固耐用，防潮、无细孔、不膨胀、不龟裂、不变形、不导电、便于维护及具有良好的承重性能；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3.柜体：采用1.0mm优质高强度镀锌钢板，采用CO2保护焊焊接，打磨处理，表面经耐酸碱EPOXY粉末烤漆处理；整体结构设计合理，预留电脑主机、键盘托、实物展台、教师电源位置；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4.拉手：采用C型不锈钢拉手，造型独特美观；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5.防撞胶垫：装于抽屉及门板内侧，减缓碰撞，保护柜体；</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6.门板及抽面：采用双层钢板，必须两层组装是设计，保证两层双面都喷涂处理，中间采用隔音材料，保证关门减少噪音；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7.耐腐蚀连接件：采用ABS专用连接组装件；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8.不锈钢防腐合页：采用优质不锈钢模具一体成型；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9.防腐三节静音导轨：三节重型滚珠滑轨，承重性强，滑动性能良好，无噪音；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10.固定桌脚：采用柜体内置可调ABS调整脚，保证调整脚前后都可以调节高低。</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★教师演示讲台技术要求满足：GB 24820-2009 实验室家具通用技术条件：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1、操作台力学性能：水平静载荷试验：技术要求：力600N，10次；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垂直静载荷试验：主桌面：力2000N，10次；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持续垂直静载荷：载荷1.25kg/dm²，24h；</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独立操作台水平冲击稳定性：质量50kg，跌落高度40mm；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独立操作台垂直加载稳定性：750N；</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活动操作台跌落：跌落高度：150mm，10次；</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垂直冲击试验：跌落高度：300mm，10次。</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教师演示电源</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500*260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1.教师演示台配备总漏电保护和分组保护，可分组控制学生的高低压电源，确保学生实验安全方便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2.教师电源总控采用10寸"电阻式"液晶屏，显示智能控制按键同时显示电源电压；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3.教师交流电源通过智能控制按键直接选取0～24V电压，最小调节单元可达1V,额定电流3A；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4.教师直流电源也是通过智能控制按键直接选取，调节范围为1.5～24V，分辨率可达0.1V,额定电流3A；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5.低压大电流值为40A，自动关断；</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6.教学电源：220V交流输出为带安全门的新国标插座，带有电源指示 ，学生低压交流电源可通过智能控制按键直接选取0～24V电压，最小调节单元为1V，组输送至学生桌；低压直流电压教师能准确控制，最小调节单元为0.1V。</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7.集中控制系统。可执行各分项分页控制；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（1）升降控制：可以实现单个控制，可以集中控制，可以任意组合控制；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（2）补光控制：分组控制整室照明；</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（3）学生220V电源控制：控制学生AC220V电源；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（4）低压控制：教室主控，分组控制。</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物理学生实验桌</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1200*600*780mm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1.新型塑铝结构。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台面：采用12.7mm厚双面膜耐腐蚀实芯理化板制作，四角倒R15圆角。台面后方卡入学生桌铝型槽内，前方用预埋件与桌体固定。耐酸、耐碱、耐高温，坚固耐用，防潮、无细孔、不膨胀、不龟裂、不变形、不导电、便于维护及具有良好的承重性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3.结构：新型塑铝结构，整体1200*600*780。学生位镂空式，符合人体工程学设计，美观大方。专用书包斗ABS注塑一体注塑成型尺寸410*325*115，镂空设计，便于清理，不屯垃圾，中间设挂凳卡。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侧脚采用三段式高强度铝合金结构，整体规格580*750，立柱采用倾斜式设计，内嵌入上下铸铝件40mm，后端配备加固支撑梁，厚度为80MM.各部分连接设置专用定位件，并用高强度内六角螺丝连接，便于组装及拆卸，外观流线形设计，简洁美观，易碰撞处全部采用倒圆角，产品款式要求整体设计美观、合理、安全、牢固、耐用。金属表面经环氧树脂粉末喷涂高温固化处理。要做到承重性能强和耐酸碱、耐腐蚀。</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背部档水板、前横梁、中间横梁全部采用高强度挤出铝合金型材，各部分连接设置专用定位件，并用高强度内六角螺丝连接，便于组装及拆卸，外观流线形设计，简洁美观,易碰撞处全部采用倒圆角，产品款式要求整体设计美观、合理、安全、牢固、耐用。金属表面经环氧树脂粉末喷涂高温固化处理。要做到承重性能强和耐酸碱、耐腐蚀。</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6.桌侧脚：桌侧脚设置专用孔位与地面固定。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★物理学生实验桌创新技术要求满足: GB 24820-2009 实验室家具通用技术条件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1、操作台台面理化性能（1）耐磨a mg/100r：磨损值≤80，b表面情况：素色：磨350r后未出现露底现向，（2）耐划痕：1.5N，划一周，无整圈连续划痕，（3）物理实验台面抗冲击 mm：冲击高度1m。冲击凹坑直径≤10mm；</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2、甲醛释放量≤1.5mg/L</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实验凳</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Φ315*450-500mm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1、凳脚材质：4个凳脚采用17×34×1.7mm 无缝钢管模具一次成型。全圆满焊接完成，结构牢固，经高温粉体烤漆处理，长时间使用也不会产生表面烤漆剥落现象 螺旋升降式，升降距离为50mm，最高离地距离为500mm。Ф凳面直径315×高450-500mm，2、聚丙烯凳面材质：采用聚丙烯共聚级注塑。表面细纹咬花，防滑不发光，凳面底部镶嵌4枚铜质螺纹，采用不锈钢螺丝与圆型托盘固定。3、脚垫材质：采用PP加耐磨纤维增强塑料，实心倒勾式一体射出成型 凳面与凳脚留有一定的空间便于凳子挂在挂凳扣上。方便教室的打扫。</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★实验凳技术要求满足:GB/T 3325-2017金属家具通用技术条件</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1、可溶性重金属：1、可溶性铅≤90mg/kg，未检出；2、可溶性镉≤75mg/kg，未检出；3、可溶性铬≤60mg/kg，未检出；4、可溶性汞≤60mg/kg，未检出；</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全钢边台</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4000*600*800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1.全钢结构：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2.台面：采用12.7mm厚实验室专用理化板,周边加厚至25.4mm,倒圆角处理.,防强酸强碱，耐磨耐高温；不含任何有毒物质，无辐射，受热不产生有毒气体和物质；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2、柜体、柜门、抽屉采用采用1.0mm高强度镀锌钢板。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柜体经折弯成型焊接一体成型，操作台力学性能满足：水平静载荷试验：技术要求：力600N，10次；垂直静载荷试验：主桌面：力2000N，10次；持续垂直静载荷：载荷1.25kg/dm²，24h；独立操作台水平冲击稳定性：质量50kg，跌落高度40mm；独立操作台垂直加载稳定性：750N；活动操作台跌落：跌落高度：150mm，10次；垂直冲击试验：跌落高度：300mm，10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4、抽屉导轨采用：防腐三节静音导轨。</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5、合页采用不锈钢防腐合页。</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多功能柱</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350*230*730mm，整体采用实验室专用PP材质，四脚圆弧处理，地脚线缩进30mm，前后二块拼接而成，可拆装，内部隐藏实验线管及通风管道，方便检修。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★多功能柱技术要求满足：GB/T 32487-2016塑料家具通用技术条件</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1、耐老化性（室内720h）：外观颜色不低于≥4级</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学生安全电源</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92*152mm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1.工作环境：温度-10ºC~+40ºC 相对湿度&lt;85％（25ºC）海拔&lt;4000M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2.市电AC220V/3A输出为2个新国标五孔插座。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3.学生电源采用耐磨、耐腐蚀、耐高温（≤140℃）的PC亮光薄膜面板，学生电源的控制采用“电容式”触摸键盘，贴片元件生产技术，微电脑控制，采用1.54寸液晶显示电源学生交直流电压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4.直流稳压电源：液晶显示，触摸按键调节，1.5-24V/2A，电压调节分辨率为0.1V。</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5.交流低压电源：液晶显示，触摸按键调节，1-24V/2A，电压调节分辨率为1V</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6.学生低压电源都可接收老师发送的锁定信号，教师主控在锁定指示灯点亮后，学生只能接收老师输送的设定电源电压，学生自己无法操作，这样可避免学生的误操作。</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准备台</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3000*1200*800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1.全钢结构：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2.台面：采用12.7mm厚实验室专用理化板,周边加厚至25.4mm,倒圆角处理.,防强酸强碱，耐磨耐高温；不含任何有毒物质，无辐射，受热不产生有毒气体和物质；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2、柜体、柜门、抽屉采用采用1.0mm高强度镀锌钢板。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柜体经折弯成型焊接一体成型，操作台力学性能满足：水平静载荷试验：技术要求：力600N，10次；垂直静载荷试验：主桌面：力2000N，10次；持续垂直静载荷：载荷1.25kg/dm²，24h；独立操作台水平冲击稳定性：质量50kg，跌落高度40mm；独立操作台垂直加载稳定性：750N；活动操作台跌落：跌落高度：150mm，10次；垂直冲击试验：跌落高度：300mm，10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4、抽屉导轨采用：防腐三节静音导轨。</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5、合页采用不锈钢防腐合页。</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加大仪器柜</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1350*450*2000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全钢结构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1、柜体、柜门、隔板采用1.0mm高强度镀锌钢板。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2、柜体经折弯成型焊接一体成型，主体结构和底架的强度满足：力300N，10次。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柜门采用双开门型式，拉手为不锈钢工字拉手，上部为玻璃开门（门框为整板开孔，双层门），下部为钢制开门（双层门），技术性能满足：拉门强度试验：质量30kg，10次；拉门水平静载荷试验：力80N，10次；拉门猛开试验：质量3.0kg，10次；拉门耐久度试验：质量2.0kg，循环次数50000次，速率6次/min。</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隔板采用20mm一体成型，上下可以调节。技术性能满足：搁板稳定性试验（垂直力）：垂直力100N，空载搁板不应倾翻；检测结果：无倾翻；搁板弯曲试验：均布载荷1.0kg/dm²，加载时间：金属、玻璃、石材搁板：1h，加载时，搁板挠度≤跨距/200；均布载荷：1.0kg/dm²，加载时间：金属、玻璃、石材搁板：1h，卸载时，搁板挠度≤跨距/1000；搁板支承件强度试验：载荷：1.0kg/dm²，冲技能1.66N.m，10次。位移≤3.0mm。</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仪器柜</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1000*500*2000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全钢结构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1、柜体、柜门、隔板采用1.0mm高强度镀锌钢板。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2、柜体经折弯成型焊接一体成型，主体结构和底架的强度满足：力300N，10次。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柜门采用双开门型式，拉手为不锈钢工字拉手，上部为玻璃开门（门框为整板开孔，双层门），下部为钢制开门（双层门），技术性能满足：拉门强度试验：质量30kg，10次；拉门水平静载荷试验：力80N，10次；拉门猛开试验：质量3.0kg，10次；拉门耐久度试验：质量2.0kg，循环次数50000次，速率6次/min。</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隔板采用20mm一体成型，上下可以调节。技术性能满足：搁板稳定性试验（垂直力）：垂直力100N，空载搁板不应倾翻；检测结果：无倾翻；搁板弯曲试验：均布载荷1.0kg/dm²，加载时间：金属、玻璃、石材搁板：1h，加载时，搁板挠度≤跨距/200；均布载荷：1.0kg/dm²，加载时间：金属、玻璃、石材搁板：1h，卸载时，搁板挠度≤跨距/1000；搁板支承件强度试验：载荷：1.0kg/dm²，冲技能1.66N.m，10次。位移≤3.0mm。</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顶部多模块电源供应装置</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采用ABS材质，模具一体成型。模块内预留高压、低压位置。电源模块可降至桌面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★顶部多模块电源供应装置技术要求满足：1、标志：调节装置、输出插孔应有清晰明了、耐用的提示文字和符号；电压输出应能显示在电压表上；</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2、内部导线连接：连线后应无应力；黄绿双色线必须是接地端子，部件固定牢固，无松动现象。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3、电压调节范围，V.:AC\DC:0～24V;</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4、电压指示精度，V:显示值与输出值之间的误差应在±2V以内；</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模块储藏装置</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373*373*130，采用ABS材质，模具一体成型。四周带氛围灯设计。</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低压电源模块</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1.5-24V</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1、教师主控型，学生低压电源都可接收主控电源发送的锁定信号，在锁定指示灯点亮后，学生接收老师输送的设定电源电压，教师锁定时,学生自己无法操作，这样可避免学生的误操作。可以分组或独立控制；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2、学生电源采用耐磨、耐腐蚀、耐高温的PC亮光薄膜面板，学生电源的控制采用按钮式按键，可以随意设置电压，贴片元件生产技术，微电脑控制，采用1.38寸液晶显示电源学生交直流电压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3、学生交流电源通过上下键0～24V电压，最小调节单元可达1V,额定电流2A；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4、学生直流电源也是通过上下键选取，调节范围为1.5～24V，分辨率可达0.1V,额定电流2.5A。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★低压电源模块技术要求满足：1、标志：调节装置、输出插孔应有清晰明了、耐用的提示文字和符号；电压输出应能显示在电压表上。</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2、电压调节范围，V:AC/DC:0～24V;</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3、内部导线连接：连线后应无应力；黄绿双色线必须是接地端子，部件固定牢固，无松动现象。</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4、电压指示精度，V:显示值与输出值之间的误差应在±2V以内；</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高压电源模块</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采用220V，多功能安全插座;</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智能升降设备</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520*390*100，采用自动升降系统，自带保护功能</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综合布线</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2.5平方电线，用控制220V；6平方电线，给学生低压电源供电；1平方屏蔽电源线</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支架</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环氧树脂喷涂金属吊杆</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间</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辅件</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国标五金件</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间</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系统调试</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升降功能、高低压电源系统调试</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顶装安装</w:t>
            </w:r>
          </w:p>
        </w:tc>
        <w:tc>
          <w:tcPr>
            <w:tcW w:w="6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标准化安装</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数据采集器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1、模块化结构，透明外壳设计，内含状态、电源指示灯；</w:t>
            </w:r>
          </w:p>
          <w:p>
            <w:pPr>
              <w:keepNext w:val="0"/>
              <w:keepLines w:val="0"/>
              <w:widowControl/>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2、与计算机采用USB2.0通讯协议，四路全数字通道，单通道最大采样率20KByte，采集器最大采样率80KByte，数字通道采样精度达5微妙；</w:t>
            </w:r>
          </w:p>
          <w:p>
            <w:pPr>
              <w:keepNext w:val="0"/>
              <w:keepLines w:val="0"/>
              <w:widowControl/>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3、通过USB接口供电，无需外接电源，所有端口具备防静电保护功能；</w:t>
            </w:r>
          </w:p>
          <w:p>
            <w:pPr>
              <w:keepNext w:val="0"/>
              <w:keepLines w:val="0"/>
              <w:widowControl/>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4、与传感器采用BT自锁接口，支持热插拔，即插即用，传感器可以任意组合，采集分辨率12bits；</w:t>
            </w:r>
          </w:p>
          <w:p>
            <w:pPr>
              <w:keepNext w:val="0"/>
              <w:keepLines w:val="0"/>
              <w:widowControl/>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5、内置双处理器主板，CPU主频48Mhz；支持有线/无线状态下的四通道并行采集；</w:t>
            </w:r>
          </w:p>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6、采用插接式结构，可根据实验教学需要，方便有线、无线工作模式切换。</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无线接口</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采用无线方式接入四种传感器并支持四通道并行采集，全数字通道，与数据采集器接插使用。在此种工作状态下，传感器应配合无线发射模块使用</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传感器无线发射模块</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通过与各种传感器组合使之具备与采集器的无线通讯功能。BT自锁接头，支持热插拔连接，可充电电池供电。</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传感器数据显示模块</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1、模块化设计既可以与传感器通过BT接口连接，也可以与计算机通过USB直接连接。数据的获取和上传无需通过数据采集器即可实现；</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2、自带不小于1.77寸彩色LED屏，可实时显示传感器数据；</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3、自动识别传感器及测量范围和分度。无需按键调控，简洁、美观、实用，减少因按键失灵造成的实验功能缺失；</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4、接口采用BT接口连接，自带锁扣，有效防止脱落。同时具有单向连接属性，避免因连接失误导致的数据传输失败。支持热插拔，使用寿命：不少于10000次插拔；</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5、自带不小于8M内存；</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数据上传有线模式：数据显示模块自带miniUSB接口，可与计算机连接。通过软件将数据上传并自动绘制变化图像。导出数据以Excel形式保存，图像可以图片的形式保存。可用于编制实验报告上传至实验评测系统进行数据统计及分析（也可结合学校实际情况上传至云端服务器）；</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7、数据上传无线模式：设备自带二维码，可用移动手持终端（手机、平板等）通过移动端实验软件扫描，导出实验数据，并绘制变化图线；</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8、自带可充电锂电池，最大电池容量不低于1100MAh。全铜触点，双保电芯，自动锁电。3.7V。满电最大待机续航时间不少于240h。可通过专用充电器完成充电，也可通过数据上传有线模式完成充电。</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eastAsia="宋体" w:cs="宋体"/>
                <w:color w:val="000000"/>
                <w:sz w:val="18"/>
                <w:szCs w:val="18"/>
                <w:lang w:val="en-US" w:eastAsia="zh-CN"/>
              </w:rPr>
              <w:t>以上参数需提供相关证明文件</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力传感器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1、测量范围：-20N～20N；</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2、分度：0.01N；</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3、可用于测拉力（显示正值）和压力（显示负值）；</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4、手柄式结构，自带防滑纹。符合人体工程学原理。自带一大一小两个传感器固定位，便于传感器的固定；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微力传感器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1、测量范围：-2N～2N；</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2、分度：0.001N；</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3、可用于测拉力（显示正值）和压力（显示负值）；</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4、手柄式结构，自带防滑纹。符合人体工程学原理。自带一大一小两个传感器固定位，便于传感器的固定；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温度传感器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1、测量范围：-50℃～200℃；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2、分度：0.1℃；</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3、不锈钢探针，可测各种物体或溶液的温度；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8、可在windows、iOS、鸿蒙和安卓系统（手机或平板）下进行实验。</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eastAsia="宋体" w:cs="宋体"/>
                <w:color w:val="000000"/>
                <w:sz w:val="18"/>
                <w:szCs w:val="18"/>
                <w:lang w:val="en-US" w:eastAsia="zh-CN"/>
              </w:rPr>
              <w:t>以上参数需提供相关证明文件</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声波/声级传感器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1、声波频率测量范围：20Hz～20kHz，声级测量范围：20 dB ～130dB，分度：0.1dB；</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2、通过转换按钮切换测量声音的波形和强度，研究声音的频率、周期、振幅等特征；</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3、自带传感器固定卡槽和螺口，便于和配套实验器材固定；</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4、采用BT接口，自带锁扣，有效防止脱落。同时具有单向连接属性，避免因连接失误导致的数据传输失败。支持热插拔，使用寿命：不少于10000次插拔；</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5、可在windows、iOS、鸿蒙和安卓系统（手机或平板）下进行实验。</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eastAsia="宋体" w:cs="宋体"/>
                <w:color w:val="000000"/>
                <w:sz w:val="18"/>
                <w:szCs w:val="18"/>
                <w:lang w:val="en-US" w:eastAsia="zh-CN"/>
              </w:rPr>
              <w:t>以上参数需提供相关证明文件</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光电门传感器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1、分度：2μS；</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2、用于测量挡光片（U型、I型）的挡光时间；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3、自带2个传感器固定口，便于传感器固定；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微电流传感器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1、测量范围：-5μA～5μA；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2、分度：0.01μA；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3、鳄鱼夹导线，便于与多种电学仪器连接；</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多量程电流传感器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1、测量范围：测量范围：-3A～3A；分度：0.01A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测量范围：-300mA～300mA；分度：1mA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测量范围：-30mA～30mA；分度：0.1 mA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2、通过按钮切换量程；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3、自带传感器固定卡槽和螺口，便于和配套实验器材固定；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6、可在windows、iOS、鸿蒙和安卓系统（手机或平板）下进行实验。</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eastAsia="宋体" w:cs="宋体"/>
                <w:color w:val="000000"/>
                <w:sz w:val="18"/>
                <w:szCs w:val="18"/>
                <w:lang w:val="en-US" w:eastAsia="zh-CN"/>
              </w:rPr>
              <w:t>以上参数需提供相关证明文件</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多量程电压传感器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1、测量范围：-20V～20V；分度：0.01V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测量范围：-2V～2V；分度：0.001V</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测量范围：-0.2V～0.2V；分度：0.1mV</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2、通过按钮切换量程；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3、自带传感器固定卡槽和螺口，便于和配套实验器材固定；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6、可在windows、iOS、鸿蒙和安卓系统（手机或平板）下进行实验。</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eastAsia="宋体" w:cs="宋体"/>
                <w:color w:val="000000"/>
                <w:sz w:val="18"/>
                <w:szCs w:val="18"/>
                <w:lang w:val="en-US" w:eastAsia="zh-CN"/>
              </w:rPr>
              <w:t>以上参数需提供相关证明文件</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磁感应强度传感器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1、测量范围：-15mT～15 mT；</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2、分度：0.01 mT；</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分体式位移传感器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1、测量范围：0cm ～200cm；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2、分度：1mm；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3、由发射器和接收器构成。发射器由电池供电，易与现有实验装置（运动小车、弹簧振子等）组合。无测量盲区；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一体式位移传感器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1、测量范围：0.15m～6m；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2、分度：1mm；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3、自带可翻转式超声波接收和发射装置；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4、自带传感器固定卡槽和螺口，便于和配套实验器材固定；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旋转运动传感器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1、测量范围：30转/秒；</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2、分度：0.2°；</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加速度传感器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1、测量范围-50m/s2～50m/s2；</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2、测量X、Y、Z三个正交方向的加速度值，</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压强传感器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1、测量范围：0 kPa～700 kPa；</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2、分度：0.1 kPa；</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3、自带传感器固定卡槽和螺口，便于和配套实验器材固定；</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4、模块化设计，可与有线接口、无线发射模块、数据显示模块连接，实现有线通讯、无线通讯、独立彩屏数据显示三种工作模式；</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5、采用BT接口，自带锁扣，有效防止脱落。同时具有单向连接属性，避免因连接失误导致的数据传输失败。支持热插拔，使用寿命：不少于10000次插拔；</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6、可在windows、iOS、鸿蒙和安卓系统（手机或平板）下进行实验。</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配件：20ml注射器</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相对压强传感器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1、测量范围：-20kPa～20kPa；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2、分度：0.01 kPa；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3、可用于测量气体的相对压强；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4、自带传感器固定口，便于传感器固定；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5、自带硬件调零按钮；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6、模块化设计，可与有线接口、无线发射模块、数据显示模块连接，实现有线通讯、无线通讯、独立彩屏数据显示三种工作模式；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7、采用BT接口，自带锁扣，有效防止脱落。同时具有单向连接属性，避免因连接失误导致的数据传输失败。支持热插拔，使用寿命：不少于10000次插拔；</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8、可在windows、iOS、鸿蒙和安卓系统（手机或平板）下进行实验。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多用力学轨道系统</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含1.2m黑色强化铝合金轨道1条、轨道小车2辆、弹簧2条、固定柱2只、50克配重片4片、5克配重块4只、沙桶1只、挡光片五片（20×2、40、60、80）、摩擦块1块、磁碰片2片、弹性碰圈2只、滑轮1套、磁碰座架1套、小车收纳器1套、轨道倾角调节器1套、T型支撑架1只、L型挂架2只、铝合金I型支架4只、塑料I型支架2只、策动源1套、紧固件一宗。</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供含有图片且通过“低温存储试验、高温存储试验、恒定湿热试验”的证明材料；提供包含产品外观及铅、汞、砷、甲醛五项的证明材料；提供能够完成“瞬时速度、变力的动量定理、匀速直线运动”实验且合格的证明材料。</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光电计时测距实验器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该系统配套2辆三轮小车，主轮自带盘式光栅，车载滚轮式光电门传感器，小车可脱离专用轨道使用，通过主轮转动测量自身位移、速度或加速度，并能以无线方式上传至计算机。系统有别于光电扫码系统，轨道表面和侧面不需要添加黑白条码，从而小车能在不借助位移传感器和光电门传感器等设备的情况下完成测定位移和速度、测定加速度、弹性碰撞和非弹性碰撞等实验。</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性能参数：量程：0～1.2m；分辨率：0.1mm；采样率：5khz；供电：锂电池；传输方式：蓝牙无线。无线接收器直接与计算机USB口通讯，通过无线通讯的方式，接收光电计时测距装置的信号，并在专用软件上显示出测量数据或图线。</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力的分解合成实验器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由带刻度精密力盘、挂臂、固定柱、滚轴、标准方型物块组成，与两只力传感器配合使用，完成力的分解合成实验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智能力盘</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两只一体式力/倾角传感器（测量范围：-20N～20N/-180°～180°；分度：0.01N/0.1°）、精密力盘、挂臂、固定装置组成，与铁架台、数据采集器配合使用。可同时测量两个方向的分力大小与角度值，完成动态条件下力的分解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机械能守恒实验器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含主板、副板、圆柱型摆、固定臂、测平器、螺栓等。能够完成动能势能转化实验（定性定量）</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智能机械能守恒实验器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底座、金属刻度板（含释放与收纳装置、挡光片）、立柱、光电门传感器、传感器电路、摆锤、摆杆、固定螺栓组成；直接与计算机USB口连接通讯；通过摆锤的一次运动，可获得摆锤在六个不同高度位置的速度数据，摆锤速度采集非角速度或转速换算而来，为通过光电门传感器得到瞬时速度，并由基本公式S/T=V得出，重力势能通过设定零势能点，由刻度板度数高度h，并由基本公式Ep=mgh得出，符合高中各年级学生学习和认知规律。设备使用USB通讯线直接接入计算机进行实验；拥有独立的专用软件，方便教师课堂演示实验使用；通过数据计算可以计算出摆球的动能、势能和机械能，并同时描绘出动能、势能和机械能随摆球下落高度的图线，得到随着摆球下落高度的降低，动能增大，势能减小，机械能不变的实验结论，完成对机械能守恒定律的定量探究。</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平抛运动实验器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由座架、支架、平抛轨道、光电门支架、内置式触碰传感器、小球、标尺游标、磁性回收器等组成。与光电门传感器配合，可测量平抛运动小球的初速度、运行时间与水平距离</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向心力实验器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主梁架、底座、砝码、旋臂、连接装置、紧固件与电机控制系统等构成。可以选择手动与电机驱动两种旋转模式；电机转动速度（0～30rad/s）及转动方向可调。可通过控制变量法，研究向心力分别与角速度、质量以及旋转半径的关系</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无线向心力实验器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1、由三角稳固底座、金属支架、旋臂、配重杆、平衡杆、挡光臂、旋臂座、砝码、连接装置、紧固件、无线接收器、电机控制系统构成。</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2、旋臂内置光电门传感器测量系统、力传感器测量系统及无线发射电路，可自由旋转。                                                                                                                  3、无线接收器与计算机USB接口通讯，无需另配数据采集器与传感器测量系统，内置光电门传感器测量系统可以精确记录每次挡光时间，并通过软件计算出旋臂的角速度；力传感器同步测量向心力的大小。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4、可以选择手动与电机驱动两种旋转模式；电机转动速度（0~30挡位）及转动方向可调。                                                                                                                                                     5、可通过控制变量法，可描绘向心力与质量、角速度、运动半径的关系曲线，探究向心力与质量、角速度、角速度、运动半径的关系。</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电学实验板</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共23块，设有标准接插孔及开关；包含半波整流与滤波，全波整流与滤波，复杂电路分析， RC、RL 移相，伏安法测电池的电动势和内阻，补偿法测量电池电动势，分压与限流电路，伏安法测电阻、测电阻丝电阻率，二极管特性曲线，三极管特性曲线，三极管放大电路，恒压源、恒流源、双稳态电路、多谐振荡、电容充放电及串并联、振荡电路、自感现象、描绘小灯泡的伏安特性曲线、与门电路、或门电路、非门电路、电感等实验板，可完成几十例中学电学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浮力定律实验器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由无级调节升降台、塑料烧杯、专用物块、水平杆、十字转接器及塑帽螺栓构成，专用物块由5只体积为15cm3的小物块用细杆连接而成。配合铁架台及力传感器使用，验证浮力定律</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二力平衡实验器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由匀速运动升降装置、I型支架、十字转接器、横杆等组成，与力传感器配合使用，测量物体运动过程中力的变化情况，可扩展为同时测量物体运动速度功能，供电电源为两节5号电池；</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流体压强实验器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气泵、套管、外接联通软管和支架组成，与同时多个压强传感器配合使用，提供自主知识产权证书及省级或省级以上检测报告；进行实验可清晰显示气流的不同流速对应的气体压强差异，可进行用于伯努利定律的演示和实验探究。</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电阻定律实验器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由直径不同的铁、铁铬、镍铬三种金属丝组成，配合电流、电压传感器使用，探究导体的电阻与长度、截面积的关系。</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高灵敏度线圈</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高灵敏度、无源、塑壳封装、带屏蔽，与微电流传感器配合，可测得切割地磁场产生的感生电流，也可测得不同电器的电磁辐射强度</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焦耳定律实验器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量热器、底座组成，外形尺寸：140mm*140mm*157mm(±5mm);量热器内金属丝长度为86cm±2mm;每个量热器内配置不同阻值电阻(电阻值误差为±1％)，结合温度传感器实时监测焦耳定律实验器中热量变化，并能根据此研究电流通过导体产生的热量与电流大小及电阻的关系。</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摩擦力实验器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由轨道、摩擦台底座、多种摩擦块、电机组成，与力传感器配合使用，可实现摩擦物体做匀速直线运动</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安培力实验器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底座、磁铁组、标有角度的转盘、矩形线框、挂钩、支架组成，配合电流传感器或多量程电流传感器和微力传感器使用，研究安培力与导线长度、供电电流以及电流方向与磁场夹角的关系。矩形线框上线圈为6种匝数，50、100、150、200、250、300匝，可研究不同匝数下的安培力大小。</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法拉第电磁感应实验器Ⅰ</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由底座、多匝数的活动线圈、可移动式磁铁、内置磁感应强度传感器、光电门传感器组成，直接与计算机USB口通讯；可通过控制变量法，分别验证动生电动势与运动速度的关系、磁感强度、导线长度的关系</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法拉第电磁感应实验器Ⅱ</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底座、主线圈、次线圈、电动势测量传输系统组成；直接与计算机USB口连接通讯，与智能电源、磁感应强度传感器配合使用，探究感生电动势与磁感强度的变化率关系底座内置电压传感器，底座能够固定I型支架。主线圈匝数：三线200匝±2匝、副线圈匝数：单线200匝±2匝</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智能电源</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分为手动模式和智能模式输出。</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手动模式输出：直流输出：1.5V~10V连续可调。</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智能模式输出：可分别调节单周期的梯形波、单周期三角波及多周期三角波三种模式输出，波形上升与下降斜率分别可调。是法拉第电磁感应定律实验器的必备模块，二者组合使用，可完成研究磁通量的变化率与感生电动势的关系实验。</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自带彩色显示屏，显示输出电压的变化图像，配套专用导线。</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电磁定位设备</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由支架、电磁定位板、纵横向保护槽、信号源、弹射器、附件组成。定位范围：578mm×330mm；最高采样频率：200Hz/s；定位精度：≤1mm。通过实时定位，检测跟踪信号源在定位板上的位置，研究物体在二维平面内运动规律。标配实验配件为三速弹射器，用于抛射信号源，可完成平抛运动/斜抛运动的相关实验研究。</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可以选配其它实验配件，完成单摆、自由落体运动、机械能守恒定律、阻尼振动、离心运动、运动的合成、圆周运动物体的投影及速度方向等十几个相关实验</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eastAsia="宋体" w:cs="宋体"/>
                <w:color w:val="000000"/>
                <w:sz w:val="18"/>
                <w:szCs w:val="18"/>
                <w:lang w:val="en-US" w:eastAsia="zh-CN"/>
              </w:rPr>
              <w:t>以上参数需提供相关证明文件</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方块电路</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块电路系一种方便进行各种电路连接实验和演示，并可反复使用的实验系统。由12类27种共43块电路模块及配套齐全的配件组成，包含扩展插片、柱形磁铁、充电器、USB数据线等附件组成。各个模块可通过磁吸方式拼接在一起，模块表面印有电子元件的标志，可实现对应电子元件的功能。</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压表、电流表可同时由数据线连接至电脑，通过PC端软件展示分析实验数据；也可通过扫描屏显二维码的方式连接到移动终端（安卓或IOS系统），进行实验数据采集；电流表、电压表模块支持一键调取二维码，支持硬件调零、软件调零，支持电表小数点显示位数的手动调整；电流表模块支持三种测量范围自由切换±2A、±200mA、±20mA，满足不同实验的测量需求。</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完成小灯泡的电压电流曲线描绘、测电池的电动势和内阻、研究电容充放电与串并联、验证欧姆定律、电动势和电源内、外电压的关系、楞次定律、调光电路、调速电路、温控电路、光控电路、楼道灯、测量小灯泡的额定功率、二极管特性曲线描绘、三极管特性曲线描绘等电学实验，满足学生课程及课外自主研究电路的需求。</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eastAsia="宋体" w:cs="宋体"/>
                <w:color w:val="000000"/>
                <w:sz w:val="18"/>
                <w:szCs w:val="18"/>
                <w:lang w:val="en-US" w:eastAsia="zh-CN"/>
              </w:rPr>
              <w:t>以上参数需提供相关证明文件</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液体内部压强实验器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1.由压强测量组件（包括压强探头、旋转器、标尺）、标尺固定夹、控制器、盛液桶、USB Type-C数据线构成；</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2.压强测量范围：-20kPa~+20kPa；分度：0.01kPa；角度旋转范围：0°~180°；分度：1°；</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3.压强传感器自带防水功能，可直接将压强传感器放入水中；</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4.无需数据采集器，传感器可与专用App软件或计算机软件配套使用，实验数据可无线传输到移动端并能有线传输到计算机软件；</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5.自带控制器，可自动0°~180°内调节压强传感器探头，用于测量不同方向压强，研究液体内部压强与方向的关系；</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6.自带标尺，可用于观测进入液体深度，完成液体内部压强与深度关系的实验；</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7.自带数据显示功能，可同时显示压强大小和旋转角度两个量；</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8.支持压强硬件调零和软件调零；</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9.可自动生成电子二维码，用于数据无线传输；</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10.自带可充电锂电池，无需外接电源。</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静电计</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1、测量范围：-100nC～100 nC；</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2、分度：1 nC；</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3、自带液晶显示屏，可独立使用并显示测量结果，也可通过无线传输方式与计算机进行通讯。</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匀强磁场螺线管</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可接学生电源，塑壳封装，产生匀强磁场</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查理定律实验器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由试管、快速温度探头、压强传感器连接器组成，结合温度与压强传感器，探究气体压强与温度的关系</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远红外加热器</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220V交流供电，功率80W；圆筒型远红外辐射加热炉芯，便于对加热体均匀加热。可完成查理定律、晶体熔解和凝固、比热容等高精度热学定量实验</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多向转接头</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零件，双向交叉，孔内径适应于标准铁架台</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实验软件</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1、为数字化实验分析软件软件。用于数据收集和结果分析。</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2、包含教材通用软件、物理教材专用软件、化学专用软件、生物专用软件、传感器校准软件与数据导入软件六个部分。</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2.1、通用软件：</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可实现传感器数据的自动识别及控制：传感器接入后自动识别测量种类、测量范围、分度、单位、通道序号等。可改变传感器的显示方式：数字表、模拟表、示波。可根据实验调整传感器的采样频率、开始与暂停、字体颜色、字号大小、调零、示波图线的移动及大小。</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组合图线：拥有2个完全相同的组合图线显示窗口，可并行使用。通过该功能的应用可完成基于传感器的实时数据变化的描绘和计算表格数据描绘及分析、处理等操作。数据的分析及处理包括：拟合、求导、积分、统计、包格线等。可通过回访功能重复观察实验的变化规律。对图像可根据实验进行放大、缩小。可对引用的传感器进行同步的停止和开始，达到很好的同时性；可对引用的传感器进行同步的调零，达到很好的一致性；可对引用的传感器进行同步采样频率调整，达到很好的精确性；</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计算表格：可自动识别接入的传感器，并按照接入的通道自动标号。可通过变量、公式、求平均、绘图等按钮对数据进行处理。根据不同的实验要求可选择自动记录和手动记录。自动记录可调整时间间隔、选择采样条件，手动记录可根据需要进行点击记录，有效减少无效数据对实验结果的干扰。可引用现有实验模板也可DIY实验模板，并保存。支持表格的复制、粘贴、剪切。具备放大缩小功能，还支持打印机直接引用（无需退出实验软件），进行结果打印。实验结果可通过Excel形式进行保存。也可将保存的数据多次调用。</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（4）实验录制：可同时将实验操作过程和软件的实验界面进行同屏录制，实现了实验现象和数据的对应。解决了数字实验无现象的难题（为减少软件操作复杂性，用其他软件录屏视为功能性缺失。）</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物理专用软件：界面简洁、风格独特、一键OK的特点。Y涵盖了人教、粤教、鲁科等教材的重点实验。明确了实验题目，使用时直接接入传感器即可。大大的方便了课堂教学，完全符合现行教材。用户可直接根据教材进行实验操作（现场提供教材复印件加以证明，未提供或者证明不足，视为符合性差）。</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2.3、化学专用软件：涵盖了初高中重点实验，起到温故知新的作用。</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2.4、生物专用软件：涵盖了初高中重点实验，起到温故知新的作用。</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2.5、传感器校准软件：根据国际计量公用应用规范，针对生物、化学传感器进行校准，以减少误差，提高精度。应用于PH、溶解氧、色度、浊度、氧化还原等传感器。</w:t>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2.6、数据导入软件：和数据显示模块配合使用，将数据显示模块的数据导入电脑进行长期保存和数据处理。</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3、应用平台：支持windows、Android、iOS系统</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传感器辅件</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1、含USB通讯线1条、转接器4只、传感器线4条；两端为BT插头，插口具有方向性和自锁功能插接方便、配合严密、方便教学；</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2、彩色印刷版高中实验指南书，有详细实验案例介绍（实验器材、实验装置图、实验操作步骤等）。</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铝合金箱</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尺寸≥510*340*175（mm），由铝合金主架、铝塑板面构成，内设隔断海棉内衬传感器铝合金实验箱</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86吋交互智能平板</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一、硬件及配置：</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1、整体外观尺寸：长4000±40mm，高1200±40mm，厚度92±4mm。中间区域采用不低于86英寸液晶触控屏，显示比例16:9，分辨率3840×216</w:t>
            </w:r>
            <w:r>
              <w:rPr>
                <w:rFonts w:hint="eastAsia" w:ascii="宋体" w:hAnsi="宋体" w:cs="宋体"/>
                <w:color w:val="000000"/>
                <w:sz w:val="18"/>
                <w:szCs w:val="18"/>
                <w:lang w:val="en-US" w:eastAsia="zh-CN"/>
              </w:rPr>
              <w:t>0</w:t>
            </w:r>
            <w:r>
              <w:rPr>
                <w:rFonts w:hint="eastAsia" w:ascii="宋体" w:hAnsi="宋体" w:cs="宋体"/>
                <w:color w:val="000000"/>
                <w:sz w:val="18"/>
                <w:szCs w:val="18"/>
              </w:rPr>
              <w:t>。主屏下方支持一体化型材粉笔槽设计，可用于放置触摸笔、粉笔等教学用品。</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2、整机采用全金属外壳，三拼接平面一体化设计，屏幕边缘采用金属圆角包边防护，整机背板采用金属材质。无推拉式结构，外部无任何可见内部功能模块连接线。主副屏过渡平滑，中间无单独边框阻隔。</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3、整</w:t>
            </w:r>
            <w:r>
              <w:rPr>
                <w:rFonts w:hint="eastAsia" w:ascii="宋体" w:hAnsi="宋体" w:cs="宋体"/>
                <w:color w:val="000000"/>
                <w:sz w:val="18"/>
                <w:szCs w:val="18"/>
                <w:lang w:val="en-US" w:eastAsia="zh-CN"/>
              </w:rPr>
              <w:t>机</w:t>
            </w:r>
            <w:r>
              <w:rPr>
                <w:rFonts w:hint="eastAsia" w:ascii="宋体" w:hAnsi="宋体" w:cs="宋体"/>
                <w:color w:val="000000"/>
                <w:sz w:val="18"/>
                <w:szCs w:val="18"/>
              </w:rPr>
              <w:t xml:space="preserve">正面均可采用普通粉笔、水笔、水溶性粉笔书写，主屏支持普通粉笔直接书写，副板采用专用书写玻璃，两侧副板可支持以下媒介（普通粉笔、液体粉笔、成膜笔）进行板书书写。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★4、电容触控技术，不低于20点触控。表面采用不低于4mm厚度玻璃，全贴合技术工艺，无可见金属网格丝。</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5、</w:t>
            </w:r>
            <w:r>
              <w:rPr>
                <w:rFonts w:hint="eastAsia" w:ascii="宋体" w:hAnsi="宋体" w:cs="宋体"/>
                <w:color w:val="000000"/>
                <w:sz w:val="18"/>
                <w:szCs w:val="18"/>
                <w:lang w:val="en-US" w:eastAsia="zh-CN"/>
              </w:rPr>
              <w:t>整机</w:t>
            </w:r>
            <w:r>
              <w:rPr>
                <w:rFonts w:hint="eastAsia" w:ascii="宋体" w:hAnsi="宋体" w:cs="宋体"/>
                <w:color w:val="000000"/>
                <w:sz w:val="18"/>
                <w:szCs w:val="18"/>
              </w:rPr>
              <w:t>模组采用导热性能佳的铝合金材料，热扩散系数≥55mm²/S，并具有防盐雾腐蚀性能。（</w:t>
            </w:r>
            <w:r>
              <w:rPr>
                <w:rFonts w:hint="eastAsia" w:ascii="宋体" w:hAnsi="宋体" w:cs="宋体"/>
                <w:color w:val="000000"/>
                <w:sz w:val="18"/>
                <w:szCs w:val="18"/>
                <w:lang w:eastAsia="zh-CN"/>
              </w:rPr>
              <w:t>提供相关证明文件包括但不限于产品检测报告、产品彩页、图片等包括但不限于产品检测报告、产品彩页、图片等</w:t>
            </w:r>
            <w:r>
              <w:rPr>
                <w:rFonts w:hint="eastAsia" w:ascii="宋体" w:hAnsi="宋体" w:cs="宋体"/>
                <w:color w:val="000000"/>
                <w:sz w:val="18"/>
                <w:szCs w:val="18"/>
              </w:rPr>
              <w:t>）</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6、为方便老师操作，整机具有不少于8个前置实体按键实现高频应用功能，包括但不仅限于电源开关、进入主页、屏幕锁定、屏幕录制、触摸锁定、音量+-等，均具有清晰简体中文标识，有效避免教学误操作，为简化操作，以上功能均一键直达，非多个按键组合。</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7、前置非转接接口：USB3.0≥3个，TYPEC≥1个，USB接口均支持Windows和安卓双系统下识别，无需区分。</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★8、</w:t>
            </w:r>
            <w:r>
              <w:rPr>
                <w:rFonts w:hint="eastAsia" w:ascii="宋体" w:hAnsi="宋体" w:cs="宋体"/>
                <w:color w:val="000000"/>
                <w:sz w:val="18"/>
                <w:szCs w:val="18"/>
                <w:lang w:val="en-US" w:eastAsia="zh-CN"/>
              </w:rPr>
              <w:t>整机</w:t>
            </w:r>
            <w:r>
              <w:rPr>
                <w:rFonts w:hint="eastAsia" w:ascii="宋体" w:hAnsi="宋体" w:cs="宋体"/>
                <w:color w:val="000000"/>
                <w:sz w:val="18"/>
                <w:szCs w:val="18"/>
              </w:rPr>
              <w:t>触控玻璃通过专业的玻璃质量监督检验中心的玻璃防飞溅性能检验和抗磨性能检验以确保智慧黑板的长久使用以及玻璃碎裂不伤人。</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★9、</w:t>
            </w:r>
            <w:r>
              <w:rPr>
                <w:rFonts w:hint="eastAsia" w:ascii="宋体" w:hAnsi="宋体" w:cs="宋体"/>
                <w:color w:val="000000"/>
                <w:sz w:val="18"/>
                <w:szCs w:val="18"/>
                <w:lang w:val="en-US" w:eastAsia="zh-CN"/>
              </w:rPr>
              <w:t>整机</w:t>
            </w:r>
            <w:r>
              <w:rPr>
                <w:rFonts w:hint="eastAsia" w:ascii="宋体" w:hAnsi="宋体" w:cs="宋体"/>
                <w:color w:val="000000"/>
                <w:sz w:val="18"/>
                <w:szCs w:val="18"/>
              </w:rPr>
              <w:t>具有物理防蓝光功能，视网膜蓝光危害（蓝光加权辐射亮度LB）＜0.3，依据GB/T 20145-2006国家标准，无蓝光危害。</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★10、</w:t>
            </w:r>
            <w:r>
              <w:rPr>
                <w:rFonts w:hint="eastAsia" w:ascii="宋体" w:hAnsi="宋体" w:cs="宋体"/>
                <w:color w:val="000000"/>
                <w:sz w:val="18"/>
                <w:szCs w:val="18"/>
                <w:lang w:val="en-US" w:eastAsia="zh-CN"/>
              </w:rPr>
              <w:t>整机</w:t>
            </w:r>
            <w:r>
              <w:rPr>
                <w:rFonts w:hint="eastAsia" w:ascii="宋体" w:hAnsi="宋体" w:cs="宋体"/>
                <w:color w:val="000000"/>
                <w:sz w:val="18"/>
                <w:szCs w:val="18"/>
              </w:rPr>
              <w:t>通过至少IPX4级别防水测试，以确保擦拭时不会因水迹伤害内</w:t>
            </w:r>
            <w:r>
              <w:rPr>
                <w:rFonts w:hint="eastAsia" w:ascii="宋体" w:hAnsi="宋体" w:cs="宋体"/>
                <w:color w:val="000000"/>
                <w:sz w:val="18"/>
                <w:szCs w:val="18"/>
                <w:lang w:val="en-US" w:eastAsia="zh-CN"/>
              </w:rPr>
              <w:t>部</w:t>
            </w:r>
            <w:r>
              <w:rPr>
                <w:rFonts w:hint="eastAsia" w:ascii="宋体" w:hAnsi="宋体" w:cs="宋体"/>
                <w:color w:val="000000"/>
                <w:sz w:val="18"/>
                <w:szCs w:val="18"/>
              </w:rPr>
              <w:t>电子元器件。</w:t>
            </w:r>
          </w:p>
          <w:p>
            <w:pPr>
              <w:widowControl/>
              <w:jc w:val="left"/>
              <w:textAlignment w:val="center"/>
              <w:rPr>
                <w:rFonts w:hint="eastAsia"/>
              </w:rPr>
            </w:pPr>
            <w:r>
              <w:rPr>
                <w:rFonts w:hint="eastAsia" w:ascii="宋体" w:hAnsi="宋体" w:cs="宋体"/>
                <w:color w:val="000000"/>
                <w:sz w:val="18"/>
                <w:szCs w:val="18"/>
              </w:rPr>
              <w:t>★11、</w:t>
            </w:r>
            <w:r>
              <w:rPr>
                <w:rFonts w:hint="eastAsia" w:ascii="宋体" w:hAnsi="宋体" w:cs="宋体"/>
                <w:color w:val="000000"/>
                <w:sz w:val="18"/>
                <w:szCs w:val="18"/>
                <w:lang w:val="en-US" w:eastAsia="zh-CN"/>
              </w:rPr>
              <w:t>整机</w:t>
            </w:r>
            <w:r>
              <w:rPr>
                <w:rFonts w:hint="eastAsia" w:ascii="宋体" w:hAnsi="宋体" w:cs="宋体"/>
                <w:color w:val="000000"/>
                <w:sz w:val="18"/>
                <w:szCs w:val="18"/>
              </w:rPr>
              <w:t>触控玻璃和触控膜均符合环保要求，有害物含量符合《电器电子产品有害物质限制使用管理办法》或欧盟指令2011/65/EU(ROHS)及其修订指令（EU）2015/863相关检测标准。</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★12、采用国产化元器件，CPU采用四核处理器或以上配置，安卓系统版本不低于9.0；具备兼容性，支持第三方应用安装。安卓主页面提供不少于7 个应用程序，支持信号源预览。</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13、在任意通道下支持左右侧边悬浮球工具栏功能，侧边工具栏不少于9个菜单工具，功能应包括但不仅限于主页、设置、音量、窗口下移、亮度、服务、进程、信号源切换等；Windows系统下主页键可直接返回Windows桌面，多任务键可直接打开Windows多任务，服务键可打开新手使用引导和报修等。操作便捷功能丰富，满足教学应用需求。</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14、任意通道下，支持五指熄屏，并同时关闭触摸，避免误触。也可使用前置物理按键息屏。</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15、任意信号源通道下均支持显示窗口下移功能，方便不同身高老师操作。支持不少于两种方式实现下移，如手势调出上滑菜单和屏体左右侧边悬浮球工具栏，双指点击显示画面即可恢复正常显示。</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16、支持在任意通道下，通过手势上滑调出虚拟OSD功能菜单键，支持信号源切换、护眼模式切换、窗口下移、自检、录屏、关机等。</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17、支持前置物理按键和上滑虚拟按键启用录屏功能。支持上滑虚拟按键实现系统还原功能，还原前需输入管理员密码确认以确保非无关人员误操作。</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★18、安卓系统下具有云盘网盘功能，支持在安卓联网下直接点击客户端应用程序运行打开，对接Windows教学白板的云端课件，云端课件既可以在Windows下使用又可以在安卓系统下使用。</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19、安卓系统下能对多媒体所读取到的文件进行自动归类，可分类查找文档、安装包，图片、音视频等，检索后可直接在界面中打开。</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★20、因产品具有液晶显示器和计算机双重功能，需至少同时符合GB21520-2015《计算机显示器能效限定值及能效等级》和GB28380-2012《微型计算机等效限定值及能效等级》两项节能标准。</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二、内置电脑</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1、采用标准80针OPS-C模块化电脑方案，非企业自定义接口。向下抽拉式设计，方便维护。</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2、不低于Intel Core I5 CPU，内存不低于8GB DDR4，固态硬盘不低于256GB SSD。配备Windows操作系统。</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3、支持有线连接，支持无线连接，支持双频WIFI。</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4、具有不少于5个独立非外扩展的电脑USB接口。</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rPr>
              <w:t>5、具有视频输出接口：至少1路HDMI接口。</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录播主机</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1.主机能够独立完成视频采集、音频采集、音频编码、视频编码、音频处理、视频处理表、直播、录制、互动、远程运维参数设置功能。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2.为保证系统整体编解码性能及使用稳定性，主机需采用ARM架构处理器，具备8核CPU，不少于4个主频2.4GHz芯片，且不少于4个主频1.8GHz芯片。采用Linux操作系统。</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3.主机采用≥15英寸触控电容屏，采用全贴合工艺，屏幕色域≥72% NTSC，表面硬度≥6H，屏幕分辨率≥1920*1080。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4.主机系统内存≥8GB。</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5.主机存储容量不低于1TB。</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6.屏幕需满足无蓝光危害，符合IEC 62471:2006要求，即在10000s（约2.8h）内不造成对视网膜蓝光危害（LB）,其LB需达到≤100 W·m-2·sr-1。</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7.内置蓝牙无线物联模块，主机无需线缆就可以实现对同品牌音箱的音量控制，也可通过同品牌讲台实现对主机开关机控制。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8.★支持标准USB音视频信号输出，通过主机TypeC接口可以实现图像和声音同步输出，支持不小于4K图像输出，输出音频可通过主机控制软件实现混音，兼容主流视频会议软件。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9.★支持断电扩声，在主机完全断电的情况下，从主机线性音频通道上输入的音频可以从主机输出通道输出，且≥2个音频输入通道可以支持该功能，满足全场景的教学使用需求。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10.支持≥4路高清视频输出，且输出分辨率不小于4K，其中HDMI信号输出≥3路且UVC视频或者TYPE-C输出≥1路。</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11.支持≥5个RJ45接口，其中≥3个支持POE。</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12.支持≥2个线路信号立体声输入，且输入接口采用不同的运放倍数设计，可满足不同类型的音频信号接入。</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支持≥1个阵列麦克风输入接口，可在不接入音频处理器的情况下，通过一根网线就可以完成2个阵列麦克风接入主机，通过一根网线可以实现两个麦克风的供电、音频信号传输、音频参数设置，支持无损数字音频传输。</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14.支持网络监测功能，无需安装第三方软件，在触控屏幕上显示教室网络状态，包括：服务联通性、网络稳定性、上下行速度、网络追踪性、网卡信息。</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15.支持通过互联网，查看当前的主机总数、日活个数、月活个数、当前在线数量，支持通过平台查看设备在线和离线状态，支持通过平台查看设备 ID 地址、IP 地址、激活时间信息。</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16.支持通过互联网，实现对设备的远程配置，支持唤醒、关机、重启、参数配置操作。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17.★支持通过互联网，按照版本号进行查询。可查看该版本的主机数量和总体占比，支持通过 IOT 物联平台实现主机的远程升级，可查看不同版本的占比，可按照行政区域进行分区升级。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18.支持通过主机一体化屏幕，调用系统内置输入法，对录制文件的名称进行重命名。</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19.主机供电采用安全电压，整机供电电压＜36V。</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导播系统</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1.自动导播默认画面支持自定义设定，支持选择自动导播画面，可根据需要选择自动导播的画面，可设置自动导播画面的保护时间和保持时间。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2.支持多种画面模式，支持单画面、画中画、左右等分、三画面、四画面多种画面合成模式，支持自动导播、手动导播，可通过互动录播电脑主机一体化触控屏实现模式选择。</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支持本地导播、远程导播，本地导播可通过互动录播电脑主机一体化触控屏实现本地导播控制；也可通过触控回传实现画面导播，无需外接键鼠设备，通过交互智能平板实现对互动录播电脑主机的导播控制，远程导播可通过网络实现远程导播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4.在导播界面的预览窗口可实时观看教师全景/特写、学生全景/特写、多媒体电脑共五路画面，点击可进行画面切换。预监画面可实时推流给资源平台，实现平台直播。</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5.支持电影模式和资源模式同步录制，可根据用户的不同需求选择录制模式。</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6.录播画面比例支持16：9，触控回传响应延时≤70ms。</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互动系统</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同时支持自动连线和手动连线，自动连线模式下，，听课端会自动接通来自主讲端的互动请求，可选择设置关闭，手动连线模式下，当主讲端发出呼叫请求后，在互动录播电脑主机一体化触控屏上会出现呼叫提醒，用户可选择接听或者挂断。</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2.支持标准SIP音视频互动协议，支持1080P60fps全高清视频互动。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3.支持互动清晰度设置：支持 1080p@60fps，分辨率可选择 1080p、720p、VGA、QVGA，帧率可选择 60fps、30fps、25fps。互动画质可选择极佳、好、一般、流畅四个等级。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互动过程中可随时邀请新的听课端加入，支持拨号呼叫，用户可通过互动录播电脑主机一体化触控屏上的拨号键盘实现拨号呼叫；支持互动通讯录功能，通讯录可显示最近呼叫的账号信息，可通过通讯录实现一键呼叫。</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5.支持一键结束互动，用户通过互动录播电脑主机一体化触控屏一键结束互动。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无需通过任何第三方软件即可进行网络监测，并在互动录播电脑主机一体化触控屏上显示教室网络状态；实现对网络联通性、网络稳定性、上行速度、下行速度、网络追踪性、网卡信息实时检测；在一段时间内，支持以折线图方式实时呈现网络稳定性、上行速度和下行速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7.听课过程中用户可在互动录播电脑主机一体化触控屏上同时显示授课教室画面和本地教室画面，且互动录播电脑主机支持一键全屏主画面。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教师在开始授课前可根据互动录播电脑主机一体化触控屏检查设备是否正常，包括：在预监画面查看各个视频画面是否正常；在预监画面进行音量调节和查看声音是否正常；支持自动导播和手动导播模式切换；自动导播模式下支持设置参与自动导播的导播画面；选择是否开启直播和桌面共享。</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9.支持课堂互动功能，授课过程中老师可通过在互动录播电脑主机一体化触控屏上单击听课教室画面切换听课教室为主画面，并与该教室实时连麦对讲，实现异地互动。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10.设备双向互动过程中，在系统总丢包率 50%的网络环境下，视频清晰流畅无卡顿，语音连贯。</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11.互动系统具备回声消除功能，在主讲教室与听讲教室同时发言的情况下，保证双方语音清晰，双方体验良好。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12.支持跨运营商互动，通过云端多运营商自适应切换技术，可最大程度优化跨运营商带来的大延时。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13.支持1带3互动。</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14.支持三种混流方式，推流端混流、拉流端混流、服务端混流。</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视频处理系统</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1.支持合成1920*1080的PGM画面，包含导播画面、教师全景画面、教师特写画面、学生全景画面、学生特写画面。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2.支持多种类型视频信号接入，支持标准网络视频信号接入、高速数字信号接入。</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3.支持通过rtsp协议接入第三方摄像机视频流。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4.支持不少于3种编码复杂度，支持Baseline Profile、Main profile、High profile</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 .支持不少于两种码率控制方式，支持CBR（Constant Bit Rate）、VBR（Variable Bit Rate）。</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6.支持通过网络实现对接入摄像机的设备信息检索。</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 HDMI采集通道支持画面缩放，可完成4K图像采集。</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教师摄像机</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1.★采用全景特写双镜头，全景镜头水平视场角≥38°，特写镜头水平视场角≥18°。</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2.镜头采用无畸变设计，保证拍摄画面无畸变，减少畸变校正造成的图像质量损失。</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3.全景画面与特写画面采用同系列图像传感器和图像处理器，确保两者图像输出亮度、颜色、风格等保持一致。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4.支持POE有线网络供电，只需要1路网线，即可实现供电及信号传输，支持同时输出特写和全景等多路画面。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5.传感器尺寸 CMOS ≥ 1/2.8英寸。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6.全景图像传感器有效像素≥400万，特写图像传感器有效像素≥800万。</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7.摄像机最低照度：0.5 Lux@（F2.0, AGC ON）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8.摄像机电子快门：1/30s ~ 1/10000s。</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9.支持2D&amp;3D数字降噪，信噪比≥55dB。</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10.支持H.264、H.265、MJPEG视频编码格式。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11.摄像机帧率设置范围：1~30fps。</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12.★支持标准USB音视频信号输出，通过主机TypeC接口可以实现图像和声音同步输出，最大支持最大支持4K@30fps输出，兼容主流视频会议软件。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13.摄像机输入电压：DC12V/PoE（IEEE802.3af）。</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14.整机功耗≤12W。</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教师摄像机图像处理系统</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 摄像机内嵌智能跟踪算法，无需单独安装定位跟踪主机及其他任何辅助拍摄设备，即可实现跟踪定位控制功能。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 系统应采用智能图像识别算法，高清摄像机同时输出2路场景画面并分析计算，实现1台摄像机的2景位拍摄，通过导播跟踪系统，实现所有画面的自动导播切换：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a) 当教师在讲台区域站立授课时，自动切换为教师特写，当教师在讲台区域进行走动时，自动切换到教师全景；</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b) 当教师切换多媒体授课时，自动切换为多媒体特写画面。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 支持设置摄像机分辨率、帧率、码率。</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 支持设置摄像机亮度、饱和度、对比度、锐度、色度、快门速度。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 图像支持左右镜像、上下翻转，默认不开启。</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 支持对摄像机网络进行管理，包括设置IP地址/网关/DNS等，支持组播协议搜索IP地址，并修改摄像机IP。</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 支持RTMP推流，推流地址可设置。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 支持RTSP推流，推流地址可设置。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 支持ONVIF协议，可预览ONVIF画面。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 支持GB28181协议，可使用GB28181协议推流。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 支持摄像机内部导播，支持外部服务器导播。</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 支持至少1个矩形导播跟踪区划定。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 支持至少2个导播屏蔽区划定。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 支持跟随模式、混合模式、双镜模式等多种导播模式。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 支持跟踪灵敏度设置，可适配不同的灵敏度要求场景。</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 支持开启/关闭跟踪功能。</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学生摄像机</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1.★采用全景特写双镜头，全景镜头水平视场角≥110°，特写镜头水平视场角≥40°。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2.镜头采用无畸变设计，保证拍摄画面无畸变，减少畸变校正造成的图像质量损失。</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3.全景画面与特写画面采用同系列图像传感器和图像处理器，确保两者图像输出亮度、颜色、风格等保持一致。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4.支持POE有线网络供电，只需要1路网线，即可实现供电及信号传输，支持同时输出特写和全景等多路画面。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5.传感器尺寸 CMOS ≥ 1/2.8英寸。</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6.全景图像传感器有效像素≥400万，特写图像传感器有效像素≥800万。</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7.摄像机最低照度：0.5 Lux@（F2.0, AGC ON）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8.摄像机电子快门：1/30s ~ 1/10000s。</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9.支持2D&amp;3D数字降噪，信噪比≥55dB。</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10.支持H.264、H.265、MJPEG视频编码格式。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11.摄像机帧率设置范围：1~30fps。</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12.★支持标准USB音视频信号输出，通过主机TypeC接口可以实现图像和声音同步输出，最大支持最大支持4K@30fps输出，兼容主流视频会议软件。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13.摄像机输入电压：DC12V/PoE（IEEE802.3af）。</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14.整机功耗≤12W。</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学生摄像机图像处理系统</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 摄像机内嵌智能跟踪算法，无需单独安装定位跟踪主机及其他任何辅助拍摄设备，即可实现跟踪定位控制功能。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 系统应采用智能图像识别算法，高清摄像机同时输出2路场景画面并分析计算，实现1台摄像机的2景位拍摄，通过导播跟踪系统，实现所有画面的自动导播切换：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a) 学生起立发言时，首先切换为学生全景，再过渡为发言学生的特写画面，当多名学生站立时，自动切换到学生全景；</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b) 学生跟踪具备人脸检测辅助识别功能。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 支持设置摄像机分辨率、帧率、码率。</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 支持设置摄像机亮度、饱和度、对比度、锐度、色度、快门速度。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 图像支持左右镜像、上下翻转，默认不开启。</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 支持对摄像机网络进行管理，包括设置IP地址/网关/DNS等，支持组播协议搜索IP地址，并修改摄像机IP。</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 支持RTMP推流，推流地址可设置。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 支持RTSP推流，推流地址可设置。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 支持ONVIF协议，可预览ONVIF画面。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 支持GB28181协议，可使用GB28181协议推流。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 支持摄像机内部导播，支持外部服务器导播。</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 支持至少1个六边形导播跟踪区划定。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 跟踪区域划定方式为任意两个边缘点连线。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 支持跟踪灵敏度设置，可适配不同的灵敏度要求场景。</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 支持开启/关闭跟踪功能。</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全向麦克风</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 麦克风采用≥4核的音频芯片。</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 麦克风频率响应范围不低于50Hz~16KHz。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 麦克风拾音半径≥5m。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 麦克风信噪比≥68dB。</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 麦克风声压级≥130dBSPL，10%THD@1 KHz。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 麦克风无需额外适配器供电，能够通过网线实现麦克风供电、音频信号传输、参数调整。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 麦克风具备≥1个状态指示灯，可显示麦克风工作状态。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 ★麦克风支持≥2个数字音频接口，每个接口都具备输入接口和输出接口能力，支持盲插。</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 麦克风支持≥1个Type-C接口。</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 麦克风内置≥8个传感器单元。</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 麦克风套件标配2支麦克风和2套安装支架。</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全向麦克风音频处理系统</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 支持全频带全双工自适应回声消除算法。</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 支持全频自适应AI降噪技术，降噪电平≥24dB。</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 支持自动增益控制。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 支持啸叫抑制。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 支持智能混音，可智能选择最佳麦克风采集音频。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 支持多通道音频矩阵，可根据场景需求进行相应设置。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 支持音频参数调节。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 支持波束成形。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 支持远程OTA升级。</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 支持连接录播主机作为录播音频输入设备使用，也可连接Windows系统，并为其提供音频输入。</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互动音箱</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1.采用功放与互动音箱一体化设计，帮助教师实现多媒体扩音以及本地扩声功能。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2.合适扩声≥75dB。</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3.双音箱有线连接，机箱采用塑胶材质，保护设备免受环境影响。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4.输出额定功率≥2*15W。</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5.配置独立音频数字信号处理芯片，支持啸叫抑制功能。</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互动电视</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1.屏幕物理尺寸：≥55英吋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2.屏幕分辨率：≥3840*2160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3.HDMI输入通道数量：＞2</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4.支持信号检测自启动，无开机广告</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5.支持壁挂和吊装安装。</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远程互动助手软件</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1.基础应用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(1)软件应支持微信扫码登录，无需输入帐号密码即可实现登录，用户可便捷、快速进入课堂。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(2)支持按天显示预约的活动信息，包括直播活动、互动课堂、网络教研的活动类型、活动名称、活动时间、活动状态。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(3)支持用户无需通过平台，直接创建公网直播，即时生成直播二维码，支持不少于200点同时观看高清直播功能。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(4)支持用户通过公网点开直播链接，观看已结束的直播活动视频，视频至少在云端保存七天，并支持下载MP4格式到本地。</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(5)支持用户无需通过平台，直接创建网络教研，即时生成教研二维码，扫码可进行查看教研简介、发送点评等。</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(6)互动课堂连接支持按键拨号形式，可直接拨号呼叫，账号为11位手机号码，充分考虑用户的日常使用习惯，无需额外学习即可快速掌握使用方法。</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(7)授课过程中，可实时显示授课端及参与互动的听课端画面，用户可实时查看授课端的拍摄效果，及听课端的实时状态。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(8)授课过程中，老师可选择任一班级，一键开麦即可与该教室实时连麦对讲，实现异地互动。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(9)申请发言：支持听课端一键主动申请发言，申请后在授课端进行提示，授课端可选择接受或拒绝，不影响正常授课。</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(10)★支持多系统兼容性。除适配Windows操作系统外，至少能与主流国产操作系统（鸿蒙、UOS、麒麟、深度）其中一个适配并正常安装运行，满足国内不同教学系统环境要求。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绑定摄像机实现美颜功能，美化课堂人物效果。支持对教师特写、教师全景、学生特写、学生全景画面进行美颜处理，并显示对应的实时画面，方便教师查看美颜效果；支持一键美颜；至少支持自定义8个美颜项目，包括美白、磨皮、瘦脸等，满足各类美颜需求。</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绑定摄像机实现无绿幕虚拟抠像，方便教师更换画面背景，突出人物；支持对教师特写、教师全景、学生特写、学生全景、本地摄像头画面进行虚拟背景处理，并显示对应的实时画面，方便教师查看虚拟背景效果；支持对比控制；支持背景虚化和更换背景；提供不少于3个默认背景图，方便教师快速选用；支持添加本地图片设置为背景图，方便教师满足更多主题需求。</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LED教室灯</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1、LED教室灯额定功率≤50W。</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2、LED教室灯长度≥1200mm；为一体式格栅防眩灯具，灯具外形应平整、无凹陷和毛刺，焊缝无透光现象，表面均匀、光洁，无流挂现象。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3、LED教室灯色温（或相关色温）满足3300-5300K。</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4、LED教室灯显色指数满足Ra≥90、R9≥50。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★5、LED教室灯正常燃点30000小时或以上的光通维持率≥93%</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6、LED教室灯人体电磁辐射测试满足20kHz-10MHz感应电流密度系数≤0.85。</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LED教室灯至少依据《GB7793》、《GB50034》、《GB/T5700》、《GB/T13379》、《T/JYBZ005》及《GB7000.1》标准满足课桌面平均照度≥300Lx，照度均匀度≥0.7，百勒克斯照明功率密度≤1.8W/㎡/100lx，教室统一眩光等级UGR＜16，</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★8、LED教室灯至少依据《GB7793》、《GB50034》、《GB/T5700》、《GB/T13379》、《T/JYBZ005》及《GB7000.1》标准满足发光面法线方向、长边γ1=60°及短边γ2=60°角度内亮度测试结果均为“P”或合格</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9、LED教室灯依据《GB/T 26572》及《GB/T 26125》标准通过电器电子产品认证。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10、LED教室灯频闪质量特征为无危害频闪或无频闪危害或无显著影响。</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11、LED教室灯蓝光危害等级为RG0（或0类危险）。</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LED黑板灯</w:t>
            </w:r>
          </w:p>
        </w:tc>
        <w:tc>
          <w:tcPr>
            <w:tcW w:w="6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1、LED黑板灯额定功率≤50W。</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2、LED黑板灯长度≥1800mm；为一体式防眩灯具，灯具外形应平整、无凹陷和毛刺，焊缝无透光现象，表面均匀、光洁，无流挂现象。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3、LED黑板灯色温（或相关色温）满足3300-5300K。</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4、LED黑板灯显色指数满足Ra≥90、R9≥50。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★5、LED黑板灯正常燃点30000小时或以上的光通维持率≥93%</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6、LED黑板灯人体电磁辐射测试满足20kHz-10MHz感应电流密度系数≤0.85。</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★7、LED黑板灯至少依据《GB7793》、《GB50034》、《GB/T5700》、《T/JYBZ005》及《GB7000.1》标准满足黑板（书写板）平均照度≥500Lx，照度均匀度≥0.8</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★8、LED黑板灯至少依据《GB7793》、《GB50034》、《GB/T5700》、《T/JYBZ005》及《GB7000.1》标准满足发光面法线方向、长边γ1=60°及短边γ2=60°角度内亮度测试结果均为“P”或合格</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9、LED黑板灯依据《GB/T 26572》及《GB/T 26125》标准通过电器电子产品认证。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10、LED黑板灯频闪质量特征为无危害频闪或无频闪危害或无显著影响。</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11、LED黑板灯蓝光危害等级为RG0（或0类危险）。</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sz w:val="24"/>
          <w:szCs w:val="24"/>
          <w:lang w:eastAsia="zh-CN"/>
        </w:rPr>
      </w:pPr>
      <w:r>
        <w:rPr>
          <w:rFonts w:hint="eastAsia" w:ascii="宋体" w:hAnsi="宋体" w:cs="宋体"/>
          <w:b/>
          <w:bCs/>
          <w:sz w:val="24"/>
          <w:szCs w:val="24"/>
          <w:lang w:eastAsia="zh-CN"/>
        </w:rPr>
        <w:t>说明：</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技术参数前加‘★’号的参数指标为主要技术指标（符合性审查内容），</w:t>
      </w:r>
      <w:r>
        <w:rPr>
          <w:rFonts w:hint="eastAsia" w:ascii="宋体" w:hAnsi="宋体" w:cs="宋体"/>
          <w:b/>
          <w:bCs/>
          <w:sz w:val="24"/>
          <w:szCs w:val="24"/>
          <w:lang w:eastAsia="zh-CN"/>
        </w:rPr>
        <w:t>投标</w:t>
      </w:r>
      <w:r>
        <w:rPr>
          <w:rFonts w:hint="eastAsia" w:ascii="宋体" w:hAnsi="宋体" w:eastAsia="宋体" w:cs="宋体"/>
          <w:b/>
          <w:bCs/>
          <w:sz w:val="24"/>
          <w:szCs w:val="24"/>
        </w:rPr>
        <w:t>供应商所报价产品必须满足或优于这些指标</w:t>
      </w:r>
      <w:r>
        <w:rPr>
          <w:rFonts w:hint="eastAsia" w:ascii="宋体" w:hAnsi="宋体" w:cs="宋体"/>
          <w:b/>
          <w:bCs/>
          <w:sz w:val="24"/>
          <w:szCs w:val="24"/>
          <w:lang w:eastAsia="zh-CN"/>
        </w:rPr>
        <w:t>，</w:t>
      </w:r>
      <w:r>
        <w:rPr>
          <w:rFonts w:hint="eastAsia" w:ascii="宋体" w:hAnsi="宋体" w:eastAsia="宋体" w:cs="宋体"/>
          <w:b/>
          <w:bCs/>
          <w:sz w:val="24"/>
          <w:szCs w:val="24"/>
          <w:lang w:eastAsia="zh-CN"/>
        </w:rPr>
        <w:t>并</w:t>
      </w:r>
      <w:r>
        <w:rPr>
          <w:rFonts w:hint="eastAsia" w:ascii="宋体" w:hAnsi="宋体" w:eastAsia="宋体" w:cs="宋体"/>
          <w:b/>
          <w:bCs/>
          <w:sz w:val="24"/>
          <w:szCs w:val="24"/>
          <w:lang w:val="en-US" w:eastAsia="zh-CN"/>
        </w:rPr>
        <w:t>需提供相关证明材料（如检测报告或产品彩页或图片等，但不限于这三种证明材料）</w:t>
      </w:r>
      <w:r>
        <w:rPr>
          <w:rFonts w:hint="eastAsia" w:ascii="宋体" w:hAnsi="宋体" w:eastAsia="宋体" w:cs="宋体"/>
          <w:b/>
          <w:bCs/>
          <w:sz w:val="24"/>
          <w:szCs w:val="24"/>
        </w:rPr>
        <w:t>；未加‘★’号的参数指标为一般性技术指标（评分考量内容），</w:t>
      </w:r>
      <w:r>
        <w:rPr>
          <w:rFonts w:hint="eastAsia" w:ascii="宋体" w:hAnsi="宋体" w:cs="宋体"/>
          <w:b/>
          <w:bCs/>
          <w:sz w:val="24"/>
          <w:szCs w:val="24"/>
          <w:lang w:eastAsia="zh-CN"/>
        </w:rPr>
        <w:t>投标</w:t>
      </w:r>
      <w:r>
        <w:rPr>
          <w:rFonts w:hint="eastAsia" w:ascii="宋体" w:hAnsi="宋体" w:eastAsia="宋体" w:cs="宋体"/>
          <w:b/>
          <w:bCs/>
          <w:sz w:val="24"/>
          <w:szCs w:val="24"/>
        </w:rPr>
        <w:t>供应商所报价产品应尽量满足这些技术指标要求，若所报价产品不能满足一般性技术指标要求，</w:t>
      </w:r>
      <w:r>
        <w:rPr>
          <w:rFonts w:hint="eastAsia" w:ascii="宋体" w:hAnsi="宋体" w:cs="宋体"/>
          <w:b/>
          <w:bCs/>
          <w:sz w:val="24"/>
          <w:szCs w:val="24"/>
          <w:lang w:eastAsia="zh-CN"/>
        </w:rPr>
        <w:t>评审</w:t>
      </w:r>
      <w:r>
        <w:rPr>
          <w:rFonts w:hint="eastAsia" w:ascii="宋体" w:hAnsi="宋体" w:eastAsia="宋体" w:cs="宋体"/>
          <w:b/>
          <w:bCs/>
          <w:sz w:val="24"/>
          <w:szCs w:val="24"/>
        </w:rPr>
        <w:t xml:space="preserve">小组会将按照评审标准和评审方法对一般性技术指标响应情况进行扣分。 </w:t>
      </w:r>
    </w:p>
    <w:p>
      <w:pPr>
        <w:pageBreakBefore/>
        <w:ind w:firstLine="2811" w:firstLineChars="1000"/>
        <w:outlineLvl w:val="0"/>
        <w:rPr>
          <w:rFonts w:hint="eastAsia" w:ascii="Arial" w:hAnsi="Arial" w:cs="Arial"/>
          <w:b/>
          <w:kern w:val="0"/>
          <w:sz w:val="28"/>
          <w:szCs w:val="28"/>
          <w:lang w:eastAsia="zh-CN"/>
        </w:rPr>
      </w:pPr>
      <w:bookmarkStart w:id="12" w:name="_Toc22602"/>
      <w:r>
        <w:rPr>
          <w:rFonts w:hint="eastAsia" w:ascii="Arial" w:hAnsi="Arial" w:cs="Arial"/>
          <w:b/>
          <w:kern w:val="0"/>
          <w:sz w:val="28"/>
          <w:szCs w:val="28"/>
        </w:rPr>
        <w:t>第五部分</w:t>
      </w:r>
      <w:r>
        <w:rPr>
          <w:rFonts w:hint="eastAsia" w:ascii="Arial" w:hAnsi="Arial" w:cs="Arial"/>
          <w:b/>
          <w:kern w:val="0"/>
          <w:sz w:val="28"/>
          <w:szCs w:val="28"/>
          <w:lang w:eastAsia="zh-CN"/>
        </w:rPr>
        <w:t>资格审查内容及标准</w:t>
      </w:r>
    </w:p>
    <w:p>
      <w:pPr>
        <w:pStyle w:val="106"/>
        <w:snapToGrid w:val="0"/>
        <w:spacing w:line="480" w:lineRule="exact"/>
        <w:rPr>
          <w:rFonts w:hint="eastAsia" w:ascii="宋体" w:hAnsi="宋体" w:eastAsia="宋体" w:cs="宋体"/>
          <w:b/>
        </w:rPr>
      </w:pPr>
      <w:r>
        <w:rPr>
          <w:rFonts w:hint="eastAsia" w:ascii="宋体" w:hAnsi="宋体" w:eastAsia="宋体" w:cs="宋体"/>
          <w:b/>
        </w:rPr>
        <w:t>资格审查内容及标准</w:t>
      </w:r>
    </w:p>
    <w:tbl>
      <w:tblPr>
        <w:tblStyle w:val="59"/>
        <w:tblW w:w="950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68"/>
        <w:gridCol w:w="3394"/>
        <w:gridCol w:w="544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8" w:type="dxa"/>
            <w:noWrap w:val="0"/>
            <w:vAlign w:val="center"/>
          </w:tcPr>
          <w:p>
            <w:pPr>
              <w:jc w:val="center"/>
              <w:rPr>
                <w:rFonts w:hint="eastAsia" w:ascii="宋体" w:hAnsi="宋体" w:eastAsia="宋体" w:cs="宋体"/>
              </w:rPr>
            </w:pPr>
            <w:r>
              <w:rPr>
                <w:rFonts w:hint="eastAsia" w:ascii="宋体" w:hAnsi="宋体" w:eastAsia="宋体" w:cs="宋体"/>
              </w:rPr>
              <w:t>序号</w:t>
            </w:r>
          </w:p>
        </w:tc>
        <w:tc>
          <w:tcPr>
            <w:tcW w:w="3394" w:type="dxa"/>
            <w:noWrap w:val="0"/>
            <w:vAlign w:val="top"/>
          </w:tcPr>
          <w:p>
            <w:pPr>
              <w:rPr>
                <w:rFonts w:hint="eastAsia" w:ascii="宋体" w:hAnsi="宋体" w:eastAsia="宋体" w:cs="宋体"/>
              </w:rPr>
            </w:pPr>
            <w:r>
              <w:rPr>
                <w:rFonts w:hint="eastAsia" w:ascii="宋体" w:hAnsi="宋体" w:eastAsia="宋体" w:cs="宋体"/>
              </w:rPr>
              <w:t>内容</w:t>
            </w:r>
          </w:p>
        </w:tc>
        <w:tc>
          <w:tcPr>
            <w:tcW w:w="5445" w:type="dxa"/>
            <w:noWrap w:val="0"/>
            <w:vAlign w:val="top"/>
          </w:tcPr>
          <w:p>
            <w:pPr>
              <w:rPr>
                <w:rFonts w:hint="eastAsia" w:ascii="宋体" w:hAnsi="宋体" w:eastAsia="宋体" w:cs="宋体"/>
              </w:rPr>
            </w:pPr>
            <w:r>
              <w:rPr>
                <w:rFonts w:hint="eastAsia" w:ascii="宋体" w:hAnsi="宋体" w:eastAsia="宋体" w:cs="宋体"/>
              </w:rPr>
              <w:t>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8" w:type="dxa"/>
            <w:noWrap w:val="0"/>
            <w:vAlign w:val="center"/>
          </w:tcPr>
          <w:p>
            <w:pPr>
              <w:jc w:val="center"/>
              <w:rPr>
                <w:rFonts w:hint="eastAsia" w:ascii="宋体" w:hAnsi="宋体" w:eastAsia="宋体" w:cs="宋体"/>
              </w:rPr>
            </w:pPr>
            <w:r>
              <w:rPr>
                <w:rFonts w:hint="eastAsia" w:ascii="宋体" w:hAnsi="宋体" w:eastAsia="宋体" w:cs="宋体"/>
              </w:rPr>
              <w:t>1</w:t>
            </w:r>
          </w:p>
        </w:tc>
        <w:tc>
          <w:tcPr>
            <w:tcW w:w="3394" w:type="dxa"/>
            <w:noWrap w:val="0"/>
            <w:vAlign w:val="top"/>
          </w:tcPr>
          <w:p>
            <w:pPr>
              <w:rPr>
                <w:rFonts w:hint="eastAsia" w:ascii="宋体" w:hAnsi="宋体" w:eastAsia="宋体" w:cs="宋体"/>
              </w:rPr>
            </w:pPr>
            <w:r>
              <w:rPr>
                <w:rFonts w:hint="eastAsia" w:ascii="宋体" w:hAnsi="宋体" w:cs="宋体"/>
                <w:lang w:eastAsia="zh-CN"/>
              </w:rPr>
              <w:t>投标人</w:t>
            </w:r>
            <w:r>
              <w:rPr>
                <w:rFonts w:hint="eastAsia" w:ascii="宋体" w:hAnsi="宋体" w:eastAsia="宋体" w:cs="宋体"/>
              </w:rPr>
              <w:t>代表证明</w:t>
            </w:r>
          </w:p>
        </w:tc>
        <w:tc>
          <w:tcPr>
            <w:tcW w:w="5445" w:type="dxa"/>
            <w:noWrap w:val="0"/>
            <w:vAlign w:val="top"/>
          </w:tcPr>
          <w:p>
            <w:pPr>
              <w:spacing w:line="360" w:lineRule="exact"/>
              <w:rPr>
                <w:rFonts w:hint="eastAsia" w:ascii="宋体" w:hAnsi="宋体" w:eastAsia="宋体" w:cs="宋体"/>
                <w:szCs w:val="21"/>
              </w:rPr>
            </w:pPr>
            <w:r>
              <w:rPr>
                <w:rFonts w:hint="eastAsia" w:ascii="宋体" w:hAnsi="宋体" w:eastAsia="宋体" w:cs="宋体"/>
                <w:szCs w:val="21"/>
              </w:rPr>
              <w:t>（1）法定代表人（负责人）参加</w:t>
            </w:r>
            <w:r>
              <w:rPr>
                <w:rFonts w:hint="eastAsia" w:ascii="宋体" w:hAnsi="宋体" w:cs="宋体"/>
                <w:szCs w:val="21"/>
                <w:lang w:eastAsia="zh-CN"/>
              </w:rPr>
              <w:t>投标</w:t>
            </w:r>
            <w:r>
              <w:rPr>
                <w:rFonts w:hint="eastAsia" w:ascii="宋体" w:hAnsi="宋体" w:eastAsia="宋体" w:cs="宋体"/>
                <w:szCs w:val="21"/>
              </w:rPr>
              <w:t>的，提供“法定代表人（负责人）证明书”</w:t>
            </w:r>
          </w:p>
          <w:p>
            <w:pPr>
              <w:spacing w:line="360" w:lineRule="exact"/>
              <w:rPr>
                <w:rFonts w:hint="eastAsia" w:ascii="宋体" w:hAnsi="宋体" w:eastAsia="宋体" w:cs="宋体"/>
                <w:szCs w:val="21"/>
              </w:rPr>
            </w:pPr>
            <w:r>
              <w:rPr>
                <w:rFonts w:hint="eastAsia" w:ascii="宋体" w:hAnsi="宋体" w:eastAsia="宋体" w:cs="宋体"/>
                <w:szCs w:val="21"/>
              </w:rPr>
              <w:t>（2）委托代理人参加投标的除提供“法定代表人（负责人）证明书”外还应提供“法定代表人（负责人）授权委托书”</w:t>
            </w:r>
          </w:p>
          <w:p>
            <w:pPr>
              <w:spacing w:line="360" w:lineRule="exact"/>
              <w:rPr>
                <w:rFonts w:hint="eastAsia" w:ascii="宋体" w:hAnsi="宋体" w:eastAsia="宋体" w:cs="宋体"/>
                <w:szCs w:val="21"/>
                <w:lang w:eastAsia="zh-CN"/>
              </w:rPr>
            </w:pPr>
            <w:r>
              <w:rPr>
                <w:rFonts w:hint="eastAsia" w:ascii="宋体" w:hAnsi="宋体" w:eastAsia="宋体" w:cs="宋体"/>
                <w:szCs w:val="21"/>
              </w:rPr>
              <w:t>（3）自然人参加</w:t>
            </w:r>
            <w:r>
              <w:rPr>
                <w:rFonts w:hint="eastAsia" w:ascii="宋体" w:hAnsi="宋体" w:cs="宋体"/>
                <w:szCs w:val="21"/>
                <w:lang w:eastAsia="zh-CN"/>
              </w:rPr>
              <w:t>投标</w:t>
            </w:r>
            <w:r>
              <w:rPr>
                <w:rFonts w:hint="eastAsia" w:ascii="宋体" w:hAnsi="宋体" w:eastAsia="宋体" w:cs="宋体"/>
                <w:szCs w:val="21"/>
              </w:rPr>
              <w:t>的，提供个人身份证明</w:t>
            </w:r>
            <w:r>
              <w:rPr>
                <w:rFonts w:hint="eastAsia" w:ascii="宋体" w:hAnsi="宋体" w:eastAsia="宋体" w:cs="宋体"/>
                <w:szCs w:val="21"/>
                <w:lang w:eastAsia="zh-CN"/>
              </w:rPr>
              <w:t>复印件</w:t>
            </w:r>
          </w:p>
          <w:p>
            <w:pPr>
              <w:rPr>
                <w:rFonts w:hint="eastAsia" w:ascii="宋体" w:hAnsi="宋体" w:eastAsia="宋体" w:cs="宋体"/>
              </w:rPr>
            </w:pPr>
            <w:r>
              <w:rPr>
                <w:rFonts w:hint="eastAsia" w:ascii="宋体" w:hAnsi="宋体" w:eastAsia="宋体" w:cs="宋体"/>
                <w:b/>
                <w:bCs/>
              </w:rPr>
              <w:t>内容齐全，</w:t>
            </w:r>
            <w:r>
              <w:rPr>
                <w:rFonts w:hint="eastAsia" w:ascii="宋体" w:hAnsi="宋体" w:eastAsia="宋体" w:cs="宋体"/>
                <w:b/>
                <w:bCs/>
                <w:lang w:eastAsia="zh-CN"/>
              </w:rPr>
              <w:t>签</w:t>
            </w:r>
            <w:r>
              <w:rPr>
                <w:rFonts w:hint="eastAsia" w:ascii="宋体" w:hAnsi="宋体" w:cs="宋体"/>
                <w:b/>
                <w:bCs/>
                <w:lang w:eastAsia="zh-CN"/>
              </w:rPr>
              <w:t>字或盖</w:t>
            </w:r>
            <w:r>
              <w:rPr>
                <w:rFonts w:hint="eastAsia" w:ascii="宋体" w:hAnsi="宋体" w:eastAsia="宋体" w:cs="宋体"/>
                <w:b/>
                <w:bCs/>
                <w:lang w:eastAsia="zh-CN"/>
              </w:rPr>
              <w:t>章</w:t>
            </w:r>
            <w:r>
              <w:rPr>
                <w:rFonts w:hint="eastAsia" w:ascii="宋体" w:hAnsi="宋体" w:eastAsia="宋体" w:cs="宋体"/>
                <w:b/>
                <w:bCs/>
              </w:rPr>
              <w:t>符合要求。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8" w:type="dxa"/>
            <w:noWrap w:val="0"/>
            <w:vAlign w:val="center"/>
          </w:tcPr>
          <w:p>
            <w:pPr>
              <w:jc w:val="center"/>
              <w:rPr>
                <w:rFonts w:hint="eastAsia" w:ascii="宋体" w:hAnsi="宋体" w:eastAsia="宋体" w:cs="宋体"/>
              </w:rPr>
            </w:pPr>
            <w:r>
              <w:rPr>
                <w:rFonts w:hint="eastAsia" w:ascii="宋体" w:hAnsi="宋体" w:eastAsia="宋体" w:cs="宋体"/>
              </w:rPr>
              <w:t>2</w:t>
            </w:r>
          </w:p>
        </w:tc>
        <w:tc>
          <w:tcPr>
            <w:tcW w:w="3394" w:type="dxa"/>
            <w:noWrap w:val="0"/>
            <w:vAlign w:val="top"/>
          </w:tcPr>
          <w:p>
            <w:pPr>
              <w:rPr>
                <w:rFonts w:hint="eastAsia" w:ascii="宋体" w:hAnsi="宋体" w:eastAsia="宋体" w:cs="宋体"/>
                <w:kern w:val="2"/>
                <w:sz w:val="21"/>
                <w:szCs w:val="22"/>
                <w:lang w:val="en-US" w:eastAsia="zh-CN" w:bidi="ar-SA"/>
              </w:rPr>
            </w:pPr>
            <w:r>
              <w:rPr>
                <w:rFonts w:hint="eastAsia" w:ascii="宋体" w:hAnsi="宋体" w:eastAsia="宋体" w:cs="宋体"/>
              </w:rPr>
              <w:t>具有独立承担民事责任的能力</w:t>
            </w:r>
          </w:p>
        </w:tc>
        <w:tc>
          <w:tcPr>
            <w:tcW w:w="5445" w:type="dxa"/>
            <w:vMerge w:val="restart"/>
            <w:noWrap w:val="0"/>
            <w:vAlign w:val="top"/>
          </w:tcPr>
          <w:p>
            <w:pPr>
              <w:rPr>
                <w:rFonts w:hint="eastAsia" w:ascii="宋体" w:hAnsi="宋体" w:eastAsia="宋体" w:cs="宋体"/>
                <w:b/>
              </w:rPr>
            </w:pPr>
            <w:r>
              <w:rPr>
                <w:rFonts w:hint="eastAsia" w:ascii="宋体" w:hAnsi="宋体" w:eastAsia="宋体" w:cs="宋体"/>
                <w:snapToGrid w:val="0"/>
                <w:kern w:val="0"/>
                <w:sz w:val="21"/>
                <w:szCs w:val="21"/>
              </w:rPr>
              <w:t xml:space="preserve"> </w:t>
            </w:r>
            <w:r>
              <w:rPr>
                <w:rFonts w:hint="eastAsia" w:ascii="宋体" w:hAnsi="宋体" w:eastAsia="宋体" w:cs="宋体"/>
                <w:lang w:val="en-US" w:eastAsia="zh-CN"/>
              </w:rPr>
              <w:t>1、</w:t>
            </w:r>
            <w:r>
              <w:rPr>
                <w:rFonts w:hint="eastAsia" w:ascii="宋体" w:hAnsi="宋体" w:eastAsia="宋体" w:cs="宋体"/>
              </w:rPr>
              <w:t>《政府集中采购供应商信用承诺书》</w:t>
            </w:r>
            <w:r>
              <w:rPr>
                <w:rFonts w:hint="eastAsia" w:ascii="宋体" w:hAnsi="宋体" w:eastAsia="宋体" w:cs="宋体"/>
                <w:b/>
                <w:bCs w:val="0"/>
              </w:rPr>
              <w:t>内容齐全</w:t>
            </w:r>
            <w:r>
              <w:rPr>
                <w:rFonts w:hint="eastAsia" w:ascii="宋体" w:hAnsi="宋体" w:eastAsia="宋体" w:cs="宋体"/>
                <w:b/>
                <w:bCs w:val="0"/>
                <w:lang w:eastAsia="zh-CN"/>
              </w:rPr>
              <w:t>，签章</w:t>
            </w:r>
            <w:r>
              <w:rPr>
                <w:rFonts w:hint="eastAsia" w:ascii="宋体" w:hAnsi="宋体" w:eastAsia="宋体" w:cs="宋体"/>
                <w:b/>
                <w:bCs w:val="0"/>
              </w:rPr>
              <w:t>符合要求。</w:t>
            </w:r>
          </w:p>
          <w:p>
            <w:pPr>
              <w:rPr>
                <w:rFonts w:hint="eastAsia" w:ascii="宋体" w:hAnsi="宋体" w:eastAsia="宋体" w:cs="宋体"/>
              </w:rPr>
            </w:pPr>
            <w:r>
              <w:rPr>
                <w:rFonts w:hint="eastAsia" w:ascii="宋体" w:hAnsi="宋体" w:eastAsia="宋体" w:cs="宋体"/>
              </w:rPr>
              <w:t>2、</w:t>
            </w:r>
            <w:r>
              <w:rPr>
                <w:rFonts w:hint="eastAsia" w:ascii="宋体" w:hAnsi="宋体" w:cs="宋体"/>
                <w:lang w:eastAsia="zh-CN"/>
              </w:rPr>
              <w:t>评审</w:t>
            </w:r>
            <w:r>
              <w:rPr>
                <w:rFonts w:hint="eastAsia" w:ascii="宋体" w:hAnsi="宋体" w:eastAsia="宋体" w:cs="宋体"/>
                <w:lang w:eastAsia="zh-CN"/>
              </w:rPr>
              <w:t>小组</w:t>
            </w:r>
            <w:r>
              <w:rPr>
                <w:rFonts w:hint="eastAsia" w:ascii="宋体" w:hAnsi="宋体" w:eastAsia="宋体" w:cs="宋体"/>
              </w:rPr>
              <w:t>登录信用中国网（http://www.creditchina.gov.cn）查看失信名单记录情况；登录中国政府采购网（http://www.ccgp.gov.cn）查看政府采购严重违法失信行为信息记录情况。</w:t>
            </w:r>
          </w:p>
          <w:p>
            <w:pPr>
              <w:rPr>
                <w:rFonts w:hint="eastAsia" w:ascii="宋体" w:hAnsi="宋体" w:eastAsia="宋体" w:cs="宋体"/>
                <w:kern w:val="2"/>
                <w:sz w:val="21"/>
                <w:szCs w:val="22"/>
                <w:lang w:val="en-US" w:eastAsia="zh-CN" w:bidi="ar-SA"/>
              </w:rPr>
            </w:pPr>
            <w:r>
              <w:rPr>
                <w:rFonts w:hint="eastAsia" w:ascii="宋体" w:hAnsi="宋体" w:eastAsia="宋体" w:cs="宋体"/>
              </w:rPr>
              <w:t>3、网上查询的内容有不良记录且在执行期间的，资格审查不予通过，响应文件无效，并将相关内容存档。</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8" w:type="dxa"/>
            <w:noWrap w:val="0"/>
            <w:vAlign w:val="center"/>
          </w:tcPr>
          <w:p>
            <w:pPr>
              <w:jc w:val="center"/>
              <w:rPr>
                <w:rFonts w:hint="eastAsia" w:ascii="宋体" w:hAnsi="宋体" w:eastAsia="宋体" w:cs="宋体"/>
              </w:rPr>
            </w:pPr>
            <w:r>
              <w:rPr>
                <w:rFonts w:hint="eastAsia" w:ascii="宋体" w:hAnsi="宋体" w:eastAsia="宋体" w:cs="宋体"/>
              </w:rPr>
              <w:t>3</w:t>
            </w:r>
          </w:p>
        </w:tc>
        <w:tc>
          <w:tcPr>
            <w:tcW w:w="3394" w:type="dxa"/>
            <w:noWrap w:val="0"/>
            <w:vAlign w:val="top"/>
          </w:tcPr>
          <w:p>
            <w:pPr>
              <w:rPr>
                <w:rFonts w:hint="eastAsia" w:ascii="宋体" w:hAnsi="宋体" w:eastAsia="宋体" w:cs="宋体"/>
                <w:kern w:val="2"/>
                <w:sz w:val="21"/>
                <w:szCs w:val="22"/>
                <w:lang w:val="en-US" w:eastAsia="zh-CN" w:bidi="ar-SA"/>
              </w:rPr>
            </w:pPr>
            <w:r>
              <w:rPr>
                <w:rFonts w:hint="eastAsia" w:ascii="宋体" w:hAnsi="宋体" w:eastAsia="宋体" w:cs="宋体"/>
              </w:rPr>
              <w:t>具有健全的财务会计制度</w:t>
            </w:r>
          </w:p>
        </w:tc>
        <w:tc>
          <w:tcPr>
            <w:tcW w:w="5445" w:type="dxa"/>
            <w:vMerge w:val="continue"/>
            <w:noWrap w:val="0"/>
            <w:vAlign w:val="top"/>
          </w:tcPr>
          <w:p>
            <w:pPr>
              <w:rPr>
                <w:rFonts w:hint="eastAsia" w:ascii="宋体" w:hAnsi="宋体" w:eastAsia="宋体" w:cs="宋体"/>
                <w:kern w:val="2"/>
                <w:sz w:val="21"/>
                <w:szCs w:val="22"/>
                <w:lang w:val="en-US" w:eastAsia="zh-CN" w:bidi="ar-SA"/>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8" w:type="dxa"/>
            <w:noWrap w:val="0"/>
            <w:vAlign w:val="center"/>
          </w:tcPr>
          <w:p>
            <w:pPr>
              <w:jc w:val="center"/>
              <w:rPr>
                <w:rFonts w:hint="eastAsia" w:ascii="宋体" w:hAnsi="宋体" w:eastAsia="宋体" w:cs="宋体"/>
              </w:rPr>
            </w:pPr>
            <w:r>
              <w:rPr>
                <w:rFonts w:hint="eastAsia" w:ascii="宋体" w:hAnsi="宋体" w:eastAsia="宋体" w:cs="宋体"/>
              </w:rPr>
              <w:t>4</w:t>
            </w:r>
          </w:p>
        </w:tc>
        <w:tc>
          <w:tcPr>
            <w:tcW w:w="3394" w:type="dxa"/>
            <w:noWrap w:val="0"/>
            <w:vAlign w:val="top"/>
          </w:tcPr>
          <w:p>
            <w:pPr>
              <w:rPr>
                <w:rFonts w:hint="eastAsia" w:ascii="宋体" w:hAnsi="宋体" w:eastAsia="宋体" w:cs="宋体"/>
                <w:kern w:val="2"/>
                <w:sz w:val="21"/>
                <w:szCs w:val="22"/>
                <w:lang w:val="en-US" w:eastAsia="zh-CN" w:bidi="ar-SA"/>
              </w:rPr>
            </w:pPr>
            <w:r>
              <w:rPr>
                <w:rFonts w:hint="eastAsia" w:ascii="宋体" w:hAnsi="宋体" w:eastAsia="宋体" w:cs="宋体"/>
              </w:rPr>
              <w:t>具有依法缴纳税收的良好记录</w:t>
            </w:r>
          </w:p>
        </w:tc>
        <w:tc>
          <w:tcPr>
            <w:tcW w:w="5445" w:type="dxa"/>
            <w:vMerge w:val="continue"/>
            <w:noWrap w:val="0"/>
            <w:vAlign w:val="top"/>
          </w:tcPr>
          <w:p>
            <w:pPr>
              <w:rPr>
                <w:rFonts w:hint="eastAsia" w:ascii="宋体" w:hAnsi="宋体" w:eastAsia="宋体" w:cs="宋体"/>
                <w:kern w:val="2"/>
                <w:sz w:val="21"/>
                <w:szCs w:val="22"/>
                <w:lang w:val="en-US" w:eastAsia="zh-CN" w:bidi="ar-SA"/>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8" w:type="dxa"/>
            <w:noWrap w:val="0"/>
            <w:vAlign w:val="center"/>
          </w:tcPr>
          <w:p>
            <w:pPr>
              <w:jc w:val="center"/>
              <w:rPr>
                <w:rFonts w:hint="eastAsia" w:ascii="宋体" w:hAnsi="宋体" w:eastAsia="宋体" w:cs="宋体"/>
              </w:rPr>
            </w:pPr>
            <w:r>
              <w:rPr>
                <w:rFonts w:hint="eastAsia" w:ascii="宋体" w:hAnsi="宋体" w:eastAsia="宋体" w:cs="宋体"/>
              </w:rPr>
              <w:t>5</w:t>
            </w:r>
          </w:p>
        </w:tc>
        <w:tc>
          <w:tcPr>
            <w:tcW w:w="3394" w:type="dxa"/>
            <w:noWrap w:val="0"/>
            <w:vAlign w:val="top"/>
          </w:tcPr>
          <w:p>
            <w:pPr>
              <w:rPr>
                <w:rFonts w:hint="eastAsia" w:ascii="宋体" w:hAnsi="宋体" w:eastAsia="宋体" w:cs="宋体"/>
                <w:kern w:val="2"/>
                <w:sz w:val="21"/>
                <w:szCs w:val="22"/>
                <w:lang w:val="en-US" w:eastAsia="zh-CN" w:bidi="ar-SA"/>
              </w:rPr>
            </w:pPr>
            <w:r>
              <w:rPr>
                <w:rFonts w:hint="eastAsia" w:ascii="宋体" w:hAnsi="宋体" w:eastAsia="宋体" w:cs="宋体"/>
              </w:rPr>
              <w:t>具有依法缴纳社会保障资金的良好记录</w:t>
            </w:r>
          </w:p>
        </w:tc>
        <w:tc>
          <w:tcPr>
            <w:tcW w:w="5445" w:type="dxa"/>
            <w:vMerge w:val="continue"/>
            <w:noWrap w:val="0"/>
            <w:vAlign w:val="top"/>
          </w:tcPr>
          <w:p>
            <w:pPr>
              <w:rPr>
                <w:rFonts w:hint="eastAsia" w:ascii="宋体" w:hAnsi="宋体" w:eastAsia="宋体" w:cs="宋体"/>
                <w:kern w:val="2"/>
                <w:sz w:val="21"/>
                <w:szCs w:val="22"/>
                <w:lang w:val="en-US" w:eastAsia="zh-CN" w:bidi="ar-SA"/>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8" w:type="dxa"/>
            <w:noWrap w:val="0"/>
            <w:vAlign w:val="center"/>
          </w:tcPr>
          <w:p>
            <w:pPr>
              <w:jc w:val="center"/>
              <w:rPr>
                <w:rFonts w:hint="eastAsia" w:ascii="宋体" w:hAnsi="宋体" w:eastAsia="宋体" w:cs="宋体"/>
              </w:rPr>
            </w:pPr>
            <w:r>
              <w:rPr>
                <w:rFonts w:hint="eastAsia" w:ascii="宋体" w:hAnsi="宋体" w:eastAsia="宋体" w:cs="宋体"/>
              </w:rPr>
              <w:t>6</w:t>
            </w:r>
          </w:p>
        </w:tc>
        <w:tc>
          <w:tcPr>
            <w:tcW w:w="3394" w:type="dxa"/>
            <w:noWrap w:val="0"/>
            <w:vAlign w:val="top"/>
          </w:tcPr>
          <w:p>
            <w:pPr>
              <w:rPr>
                <w:rFonts w:hint="eastAsia" w:ascii="宋体" w:hAnsi="宋体" w:eastAsia="宋体" w:cs="宋体"/>
                <w:kern w:val="2"/>
                <w:sz w:val="21"/>
                <w:szCs w:val="22"/>
                <w:lang w:val="en-US" w:eastAsia="zh-CN" w:bidi="ar-SA"/>
              </w:rPr>
            </w:pPr>
            <w:r>
              <w:rPr>
                <w:rFonts w:hint="eastAsia" w:ascii="宋体" w:hAnsi="宋体" w:eastAsia="宋体" w:cs="宋体"/>
              </w:rPr>
              <w:t>具有履行合同的能力</w:t>
            </w:r>
          </w:p>
        </w:tc>
        <w:tc>
          <w:tcPr>
            <w:tcW w:w="5445" w:type="dxa"/>
            <w:vMerge w:val="continue"/>
            <w:noWrap w:val="0"/>
            <w:vAlign w:val="top"/>
          </w:tcPr>
          <w:p>
            <w:pPr>
              <w:rPr>
                <w:rFonts w:hint="eastAsia" w:ascii="宋体" w:hAnsi="宋体" w:eastAsia="宋体" w:cs="宋体"/>
                <w:kern w:val="2"/>
                <w:sz w:val="21"/>
                <w:szCs w:val="22"/>
                <w:lang w:val="en-US" w:eastAsia="zh-CN" w:bidi="ar-SA"/>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8" w:type="dxa"/>
            <w:noWrap w:val="0"/>
            <w:vAlign w:val="center"/>
          </w:tcPr>
          <w:p>
            <w:pPr>
              <w:jc w:val="center"/>
              <w:rPr>
                <w:rFonts w:hint="eastAsia" w:ascii="宋体" w:hAnsi="宋体" w:eastAsia="宋体" w:cs="宋体"/>
              </w:rPr>
            </w:pPr>
            <w:r>
              <w:rPr>
                <w:rFonts w:hint="eastAsia" w:ascii="宋体" w:hAnsi="宋体" w:eastAsia="宋体" w:cs="宋体"/>
              </w:rPr>
              <w:t>7</w:t>
            </w:r>
          </w:p>
        </w:tc>
        <w:tc>
          <w:tcPr>
            <w:tcW w:w="3394" w:type="dxa"/>
            <w:noWrap w:val="0"/>
            <w:vAlign w:val="top"/>
          </w:tcPr>
          <w:p>
            <w:pPr>
              <w:rPr>
                <w:rFonts w:hint="eastAsia" w:ascii="宋体" w:hAnsi="宋体" w:eastAsia="宋体" w:cs="宋体"/>
                <w:kern w:val="2"/>
                <w:sz w:val="21"/>
                <w:szCs w:val="22"/>
                <w:lang w:val="en-US" w:eastAsia="zh-CN" w:bidi="ar-SA"/>
              </w:rPr>
            </w:pPr>
            <w:r>
              <w:rPr>
                <w:rFonts w:hint="eastAsia" w:ascii="宋体" w:hAnsi="宋体" w:eastAsia="宋体" w:cs="宋体"/>
              </w:rPr>
              <w:t>参加政府采购活动前三年内，在经营活动中没有重大违法记录</w:t>
            </w:r>
          </w:p>
        </w:tc>
        <w:tc>
          <w:tcPr>
            <w:tcW w:w="5445" w:type="dxa"/>
            <w:vMerge w:val="continue"/>
            <w:noWrap w:val="0"/>
            <w:vAlign w:val="top"/>
          </w:tcPr>
          <w:p>
            <w:pPr>
              <w:rPr>
                <w:rFonts w:hint="eastAsia" w:ascii="宋体" w:hAnsi="宋体" w:eastAsia="宋体" w:cs="宋体"/>
                <w:kern w:val="2"/>
                <w:sz w:val="21"/>
                <w:szCs w:val="22"/>
                <w:lang w:val="en-US" w:eastAsia="zh-CN" w:bidi="ar-SA"/>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8" w:type="dxa"/>
            <w:noWrap w:val="0"/>
            <w:vAlign w:val="center"/>
          </w:tcPr>
          <w:p>
            <w:pPr>
              <w:jc w:val="center"/>
              <w:rPr>
                <w:rFonts w:hint="eastAsia" w:ascii="宋体" w:hAnsi="宋体" w:eastAsia="宋体" w:cs="宋体"/>
              </w:rPr>
            </w:pPr>
            <w:r>
              <w:rPr>
                <w:rFonts w:hint="eastAsia" w:ascii="宋体" w:hAnsi="宋体" w:eastAsia="宋体" w:cs="宋体"/>
              </w:rPr>
              <w:t>8</w:t>
            </w:r>
          </w:p>
        </w:tc>
        <w:tc>
          <w:tcPr>
            <w:tcW w:w="3394" w:type="dxa"/>
            <w:noWrap w:val="0"/>
            <w:vAlign w:val="top"/>
          </w:tcPr>
          <w:p>
            <w:pPr>
              <w:pageBreakBefore w:val="0"/>
              <w:kinsoku/>
              <w:bidi w:val="0"/>
              <w:spacing w:line="360" w:lineRule="auto"/>
              <w:jc w:val="left"/>
              <w:rPr>
                <w:rFonts w:hint="eastAsia" w:ascii="宋体" w:hAnsi="宋体" w:eastAsia="宋体" w:cs="宋体"/>
                <w:b w:val="0"/>
                <w:bCs w:val="0"/>
                <w:kern w:val="2"/>
                <w:sz w:val="21"/>
                <w:szCs w:val="22"/>
                <w:lang w:val="en-US" w:eastAsia="zh-CN" w:bidi="ar-SA"/>
              </w:rPr>
            </w:pPr>
            <w:r>
              <w:rPr>
                <w:rFonts w:hint="eastAsia" w:ascii="宋体" w:hAnsi="宋体" w:eastAsia="宋体" w:cs="宋体"/>
                <w:b w:val="0"/>
                <w:bCs w:val="0"/>
                <w:color w:val="auto"/>
                <w:highlight w:val="none"/>
                <w:lang w:eastAsia="zh-CN"/>
              </w:rPr>
              <w:t>声明函</w:t>
            </w:r>
          </w:p>
        </w:tc>
        <w:tc>
          <w:tcPr>
            <w:tcW w:w="5445" w:type="dxa"/>
            <w:noWrap w:val="0"/>
            <w:vAlign w:val="top"/>
          </w:tcPr>
          <w:p>
            <w:pPr>
              <w:spacing w:line="360" w:lineRule="auto"/>
              <w:ind w:firstLine="420" w:firstLineChars="200"/>
              <w:rPr>
                <w:rFonts w:hint="eastAsia"/>
                <w:lang w:eastAsia="zh-CN"/>
              </w:rPr>
            </w:pPr>
            <w:r>
              <w:rPr>
                <w:rFonts w:hint="eastAsia" w:ascii="宋体" w:hAnsi="宋体" w:eastAsia="宋体" w:cs="宋体"/>
                <w:szCs w:val="21"/>
                <w:lang w:val="en-US" w:eastAsia="zh-CN"/>
              </w:rPr>
              <w:t>请供应商按照</w:t>
            </w:r>
            <w:r>
              <w:rPr>
                <w:rFonts w:hint="eastAsia" w:ascii="宋体" w:hAnsi="宋体" w:cs="宋体"/>
                <w:szCs w:val="21"/>
                <w:lang w:val="en-US" w:eastAsia="zh-CN"/>
              </w:rPr>
              <w:t>投标</w:t>
            </w:r>
            <w:r>
              <w:rPr>
                <w:rFonts w:hint="eastAsia" w:ascii="宋体" w:hAnsi="宋体" w:eastAsia="宋体" w:cs="宋体"/>
                <w:szCs w:val="21"/>
                <w:lang w:val="en-US" w:eastAsia="zh-CN"/>
              </w:rPr>
              <w:t>文件中格式提供中小企业声明函或监狱企业证明文件及相关证明材料或残疾人福利性单位声明函。</w:t>
            </w:r>
          </w:p>
          <w:p>
            <w:pPr>
              <w:pStyle w:val="3"/>
              <w:tabs>
                <w:tab w:val="left" w:pos="1155"/>
              </w:tabs>
              <w:rPr>
                <w:rFonts w:hint="eastAsia" w:ascii="宋体" w:hAnsi="宋体" w:eastAsia="宋体" w:cs="宋体"/>
                <w:kern w:val="2"/>
                <w:sz w:val="21"/>
                <w:szCs w:val="22"/>
                <w:lang w:val="en-US" w:eastAsia="zh-CN" w:bidi="ar-SA"/>
              </w:rPr>
            </w:pPr>
            <w:r>
              <w:rPr>
                <w:rFonts w:hint="eastAsia" w:ascii="宋体" w:hAnsi="宋体" w:eastAsia="宋体" w:cs="宋体"/>
                <w:b/>
                <w:bCs/>
                <w:color w:val="auto"/>
                <w:highlight w:val="none"/>
                <w:lang w:eastAsia="zh-CN"/>
              </w:rPr>
              <w:t>且</w:t>
            </w:r>
            <w:r>
              <w:rPr>
                <w:rFonts w:hint="eastAsia" w:ascii="宋体" w:hAnsi="宋体" w:eastAsia="宋体" w:cs="宋体"/>
                <w:b/>
                <w:bCs/>
                <w:color w:val="auto"/>
                <w:highlight w:val="none"/>
              </w:rPr>
              <w:t>内容齐全</w:t>
            </w:r>
            <w:r>
              <w:rPr>
                <w:rFonts w:hint="eastAsia" w:ascii="宋体" w:hAnsi="宋体" w:cs="宋体"/>
                <w:b/>
                <w:bCs/>
                <w:color w:val="auto"/>
                <w:highlight w:val="none"/>
                <w:lang w:eastAsia="zh-CN"/>
              </w:rPr>
              <w:t>，</w:t>
            </w:r>
            <w:r>
              <w:rPr>
                <w:rFonts w:hint="eastAsia" w:ascii="宋体" w:hAnsi="宋体" w:eastAsia="宋体" w:cs="宋体"/>
                <w:b/>
                <w:bCs/>
                <w:color w:val="auto"/>
                <w:highlight w:val="none"/>
                <w:lang w:eastAsia="zh-CN"/>
              </w:rPr>
              <w:t>签章</w:t>
            </w:r>
            <w:r>
              <w:rPr>
                <w:rFonts w:hint="eastAsia" w:ascii="宋体" w:hAnsi="宋体" w:eastAsia="宋体" w:cs="宋体"/>
                <w:b/>
                <w:bCs/>
                <w:color w:val="auto"/>
                <w:highlight w:val="none"/>
              </w:rPr>
              <w:t>符合要求。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8" w:type="dxa"/>
            <w:noWrap w:val="0"/>
            <w:vAlign w:val="center"/>
          </w:tcPr>
          <w:p>
            <w:pPr>
              <w:jc w:val="center"/>
              <w:rPr>
                <w:rFonts w:hint="eastAsia" w:ascii="宋体" w:hAnsi="宋体" w:eastAsia="宋体" w:cs="宋体"/>
                <w:lang w:val="en-US" w:eastAsia="zh-CN"/>
              </w:rPr>
            </w:pPr>
            <w:r>
              <w:rPr>
                <w:rFonts w:hint="eastAsia" w:ascii="宋体" w:hAnsi="宋体" w:cs="宋体"/>
                <w:lang w:val="en-US" w:eastAsia="zh-CN"/>
              </w:rPr>
              <w:t>9</w:t>
            </w:r>
          </w:p>
        </w:tc>
        <w:tc>
          <w:tcPr>
            <w:tcW w:w="3394" w:type="dxa"/>
            <w:noWrap w:val="0"/>
            <w:vAlign w:val="top"/>
          </w:tcPr>
          <w:p>
            <w:pPr>
              <w:rPr>
                <w:rFonts w:hint="eastAsia" w:ascii="宋体" w:hAnsi="宋体" w:eastAsia="宋体" w:cs="宋体"/>
                <w:kern w:val="2"/>
                <w:sz w:val="21"/>
                <w:szCs w:val="22"/>
                <w:lang w:val="en-US" w:eastAsia="zh-CN" w:bidi="ar-SA"/>
              </w:rPr>
            </w:pPr>
            <w:r>
              <w:rPr>
                <w:rFonts w:hint="eastAsia" w:ascii="宋体" w:hAnsi="宋体" w:eastAsia="宋体" w:cs="宋体"/>
                <w:b w:val="0"/>
                <w:bCs w:val="0"/>
              </w:rPr>
              <w:t>基本</w:t>
            </w:r>
            <w:r>
              <w:rPr>
                <w:rFonts w:hint="eastAsia" w:ascii="宋体" w:hAnsi="宋体" w:eastAsia="宋体" w:cs="宋体"/>
                <w:b w:val="0"/>
                <w:bCs w:val="0"/>
                <w:lang w:eastAsia="zh-CN"/>
              </w:rPr>
              <w:t>存款</w:t>
            </w:r>
            <w:r>
              <w:rPr>
                <w:rFonts w:hint="eastAsia" w:ascii="宋体" w:hAnsi="宋体" w:eastAsia="宋体" w:cs="宋体"/>
                <w:b w:val="0"/>
                <w:bCs w:val="0"/>
              </w:rPr>
              <w:t>账户</w:t>
            </w:r>
            <w:r>
              <w:rPr>
                <w:rFonts w:hint="eastAsia" w:ascii="宋体" w:hAnsi="宋体" w:eastAsia="宋体" w:cs="宋体"/>
                <w:b w:val="0"/>
                <w:bCs w:val="0"/>
                <w:lang w:eastAsia="zh-CN"/>
              </w:rPr>
              <w:t>信息</w:t>
            </w:r>
          </w:p>
        </w:tc>
        <w:tc>
          <w:tcPr>
            <w:tcW w:w="5445" w:type="dxa"/>
            <w:noWrap w:val="0"/>
            <w:vAlign w:val="top"/>
          </w:tcPr>
          <w:p>
            <w:pPr>
              <w:rPr>
                <w:rFonts w:hint="eastAsia" w:ascii="宋体" w:hAnsi="宋体" w:eastAsia="宋体" w:cs="宋体"/>
                <w:b w:val="0"/>
                <w:bCs w:val="0"/>
              </w:rPr>
            </w:pPr>
            <w:r>
              <w:rPr>
                <w:rFonts w:hint="eastAsia" w:ascii="宋体" w:hAnsi="宋体" w:eastAsia="宋体" w:cs="宋体"/>
                <w:b w:val="0"/>
                <w:bCs w:val="0"/>
              </w:rPr>
              <w:t>提供基本</w:t>
            </w:r>
            <w:r>
              <w:rPr>
                <w:rFonts w:hint="eastAsia" w:ascii="宋体" w:hAnsi="宋体" w:eastAsia="宋体" w:cs="宋体"/>
                <w:b w:val="0"/>
                <w:bCs w:val="0"/>
                <w:lang w:eastAsia="zh-CN"/>
              </w:rPr>
              <w:t>存款</w:t>
            </w:r>
            <w:r>
              <w:rPr>
                <w:rFonts w:hint="eastAsia" w:ascii="宋体" w:hAnsi="宋体" w:eastAsia="宋体" w:cs="宋体"/>
                <w:b w:val="0"/>
                <w:bCs w:val="0"/>
              </w:rPr>
              <w:t>账户</w:t>
            </w:r>
            <w:r>
              <w:rPr>
                <w:rFonts w:hint="eastAsia" w:ascii="宋体" w:hAnsi="宋体" w:eastAsia="宋体" w:cs="宋体"/>
                <w:b w:val="0"/>
                <w:bCs w:val="0"/>
                <w:lang w:eastAsia="zh-CN"/>
              </w:rPr>
              <w:t>信息复印件</w:t>
            </w:r>
            <w:r>
              <w:rPr>
                <w:rFonts w:hint="eastAsia" w:ascii="宋体" w:hAnsi="宋体" w:eastAsia="宋体" w:cs="宋体"/>
                <w:b w:val="0"/>
                <w:bCs w:val="0"/>
              </w:rPr>
              <w:t>。</w:t>
            </w:r>
          </w:p>
          <w:p>
            <w:pPr>
              <w:rPr>
                <w:rFonts w:hint="eastAsia" w:ascii="宋体" w:hAnsi="宋体" w:eastAsia="宋体" w:cs="宋体"/>
                <w:kern w:val="2"/>
                <w:sz w:val="21"/>
                <w:szCs w:val="22"/>
                <w:lang w:val="en-US" w:eastAsia="zh-CN" w:bidi="ar-SA"/>
              </w:rPr>
            </w:pPr>
            <w:r>
              <w:rPr>
                <w:rFonts w:hint="eastAsia" w:ascii="宋体" w:hAnsi="宋体" w:eastAsia="宋体" w:cs="宋体"/>
                <w:b/>
                <w:bCs/>
                <w:lang w:eastAsia="zh-CN"/>
              </w:rPr>
              <w:t>复印件</w:t>
            </w:r>
            <w:r>
              <w:rPr>
                <w:rFonts w:hint="eastAsia" w:ascii="宋体" w:hAnsi="宋体" w:eastAsia="宋体" w:cs="宋体"/>
                <w:b/>
                <w:bCs/>
              </w:rPr>
              <w:t>清晰。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8" w:type="dxa"/>
            <w:noWrap w:val="0"/>
            <w:vAlign w:val="center"/>
          </w:tcPr>
          <w:p>
            <w:pPr>
              <w:jc w:val="center"/>
              <w:rPr>
                <w:rFonts w:hint="default" w:ascii="宋体" w:hAnsi="宋体" w:eastAsia="宋体" w:cs="宋体"/>
                <w:lang w:val="en-US" w:eastAsia="zh-CN"/>
              </w:rPr>
            </w:pPr>
            <w:r>
              <w:rPr>
                <w:rFonts w:hint="eastAsia" w:ascii="宋体" w:hAnsi="宋体" w:cs="宋体"/>
                <w:lang w:val="en-US" w:eastAsia="zh-CN"/>
              </w:rPr>
              <w:t>10</w:t>
            </w:r>
          </w:p>
        </w:tc>
        <w:tc>
          <w:tcPr>
            <w:tcW w:w="3394" w:type="dxa"/>
            <w:noWrap w:val="0"/>
            <w:vAlign w:val="top"/>
          </w:tcPr>
          <w:p>
            <w:pPr>
              <w:spacing w:line="400" w:lineRule="exact"/>
              <w:rPr>
                <w:rFonts w:hint="default" w:ascii="宋体" w:hAnsi="宋体" w:eastAsia="宋体" w:cs="宋体"/>
                <w:b w:val="0"/>
                <w:bCs w:val="0"/>
                <w:szCs w:val="21"/>
                <w:lang w:val="en-US" w:eastAsia="zh-CN"/>
              </w:rPr>
            </w:pPr>
            <w:r>
              <w:rPr>
                <w:rFonts w:hint="eastAsia" w:ascii="宋体" w:hAnsi="宋体" w:cs="宋体"/>
                <w:b w:val="0"/>
                <w:bCs w:val="0"/>
                <w:sz w:val="24"/>
                <w:szCs w:val="24"/>
                <w:lang w:eastAsia="zh-CN"/>
              </w:rPr>
              <w:t>投标</w:t>
            </w:r>
            <w:r>
              <w:rPr>
                <w:rFonts w:hint="eastAsia" w:ascii="宋体" w:hAnsi="宋体" w:eastAsia="宋体" w:cs="宋体"/>
                <w:b w:val="0"/>
                <w:bCs w:val="0"/>
                <w:sz w:val="24"/>
                <w:szCs w:val="24"/>
              </w:rPr>
              <w:t>文件要求</w:t>
            </w:r>
            <w:r>
              <w:rPr>
                <w:rFonts w:hint="eastAsia" w:ascii="宋体" w:hAnsi="宋体" w:eastAsia="宋体" w:cs="宋体"/>
                <w:b w:val="0"/>
                <w:bCs w:val="0"/>
                <w:sz w:val="24"/>
                <w:szCs w:val="24"/>
                <w:lang w:eastAsia="zh-CN"/>
              </w:rPr>
              <w:t>或</w:t>
            </w:r>
            <w:r>
              <w:rPr>
                <w:rFonts w:hint="eastAsia" w:ascii="宋体" w:hAnsi="宋体" w:cs="宋体"/>
                <w:b w:val="0"/>
                <w:bCs w:val="0"/>
                <w:sz w:val="24"/>
                <w:szCs w:val="24"/>
                <w:lang w:val="en-US" w:eastAsia="zh-CN"/>
              </w:rPr>
              <w:t>投标人</w:t>
            </w:r>
            <w:r>
              <w:rPr>
                <w:rFonts w:hint="eastAsia" w:ascii="宋体" w:hAnsi="宋体" w:eastAsia="宋体" w:cs="宋体"/>
                <w:b w:val="0"/>
                <w:bCs w:val="0"/>
                <w:sz w:val="21"/>
                <w:szCs w:val="21"/>
              </w:rPr>
              <w:t>认为需要提供的其他资格证明文件</w:t>
            </w:r>
          </w:p>
          <w:p>
            <w:pPr>
              <w:rPr>
                <w:rFonts w:hint="eastAsia" w:ascii="宋体" w:hAnsi="宋体" w:eastAsia="宋体" w:cs="宋体"/>
                <w:b w:val="0"/>
                <w:bCs w:val="0"/>
                <w:kern w:val="2"/>
                <w:sz w:val="21"/>
                <w:szCs w:val="22"/>
                <w:lang w:val="en-US" w:eastAsia="zh-CN" w:bidi="ar-SA"/>
              </w:rPr>
            </w:pPr>
          </w:p>
        </w:tc>
        <w:tc>
          <w:tcPr>
            <w:tcW w:w="5445" w:type="dxa"/>
            <w:noWrap w:val="0"/>
            <w:vAlign w:val="top"/>
          </w:tcPr>
          <w:p>
            <w:pPr>
              <w:rPr>
                <w:rFonts w:hint="eastAsia" w:ascii="宋体" w:hAnsi="宋体" w:eastAsia="宋体" w:cs="宋体"/>
                <w:kern w:val="2"/>
                <w:sz w:val="21"/>
                <w:szCs w:val="22"/>
                <w:lang w:val="en-US" w:eastAsia="zh-CN" w:bidi="ar-SA"/>
              </w:rPr>
            </w:pPr>
            <w:r>
              <w:rPr>
                <w:rFonts w:hint="eastAsia" w:ascii="宋体" w:hAnsi="宋体" w:eastAsia="宋体" w:cs="宋体"/>
                <w:b/>
                <w:bCs/>
              </w:rPr>
              <w:t>证明文件</w:t>
            </w:r>
            <w:r>
              <w:rPr>
                <w:rFonts w:hint="eastAsia" w:ascii="宋体" w:hAnsi="宋体" w:eastAsia="宋体" w:cs="宋体"/>
                <w:b/>
                <w:bCs/>
                <w:lang w:eastAsia="zh-CN"/>
              </w:rPr>
              <w:t>复印件</w:t>
            </w:r>
            <w:r>
              <w:rPr>
                <w:rFonts w:hint="eastAsia" w:ascii="宋体" w:hAnsi="宋体" w:eastAsia="宋体" w:cs="宋体"/>
                <w:b/>
                <w:bCs/>
              </w:rPr>
              <w:t>清晰。</w:t>
            </w:r>
          </w:p>
        </w:tc>
      </w:tr>
    </w:tbl>
    <w:p>
      <w:pPr>
        <w:spacing w:line="360" w:lineRule="exact"/>
        <w:rPr>
          <w:rFonts w:hint="eastAsia" w:ascii="宋体" w:hAnsi="宋体" w:eastAsia="宋体" w:cs="宋体"/>
          <w:szCs w:val="21"/>
        </w:rPr>
      </w:pPr>
      <w:r>
        <w:rPr>
          <w:rFonts w:hint="eastAsia" w:ascii="宋体" w:hAnsi="宋体" w:eastAsia="宋体" w:cs="宋体"/>
          <w:szCs w:val="21"/>
        </w:rPr>
        <w:t>说明：1、资格检查的内容若有一项未提供或达不到检查标准，将导致其不具备</w:t>
      </w:r>
      <w:r>
        <w:rPr>
          <w:rFonts w:hint="eastAsia" w:ascii="宋体" w:hAnsi="宋体" w:cs="宋体"/>
          <w:szCs w:val="21"/>
          <w:lang w:eastAsia="zh-CN"/>
        </w:rPr>
        <w:t>投标</w:t>
      </w:r>
      <w:r>
        <w:rPr>
          <w:rFonts w:hint="eastAsia" w:ascii="宋体" w:hAnsi="宋体" w:eastAsia="宋体" w:cs="宋体"/>
          <w:szCs w:val="21"/>
        </w:rPr>
        <w:t>资格，且不允许在</w:t>
      </w:r>
      <w:r>
        <w:rPr>
          <w:rFonts w:hint="eastAsia" w:ascii="宋体" w:hAnsi="宋体" w:cs="宋体"/>
          <w:szCs w:val="21"/>
          <w:lang w:eastAsia="zh-CN"/>
        </w:rPr>
        <w:t>投标文件</w:t>
      </w:r>
      <w:r>
        <w:rPr>
          <w:rFonts w:hint="eastAsia" w:ascii="宋体" w:hAnsi="宋体" w:eastAsia="宋体" w:cs="宋体"/>
          <w:szCs w:val="21"/>
        </w:rPr>
        <w:t>提交截止时间后补正。</w:t>
      </w:r>
    </w:p>
    <w:p>
      <w:pPr>
        <w:spacing w:line="360" w:lineRule="exact"/>
        <w:ind w:left="0" w:leftChars="0" w:firstLine="0" w:firstLineChars="0"/>
        <w:rPr>
          <w:rFonts w:hint="eastAsia" w:ascii="宋体" w:hAnsi="宋体" w:eastAsia="宋体" w:cs="宋体"/>
          <w:szCs w:val="21"/>
        </w:rPr>
      </w:pPr>
      <w:r>
        <w:rPr>
          <w:rFonts w:hint="eastAsia" w:ascii="宋体" w:hAnsi="宋体" w:eastAsia="宋体" w:cs="宋体"/>
        </w:rPr>
        <w:t>2、</w:t>
      </w:r>
      <w:r>
        <w:rPr>
          <w:rFonts w:hint="eastAsia" w:ascii="宋体" w:hAnsi="宋体" w:eastAsia="宋体" w:cs="宋体"/>
          <w:szCs w:val="21"/>
        </w:rPr>
        <w:t>依法免税或不需要缴纳社会保障金的</w:t>
      </w:r>
      <w:r>
        <w:rPr>
          <w:rFonts w:hint="eastAsia" w:ascii="宋体" w:hAnsi="宋体" w:cs="宋体"/>
          <w:szCs w:val="21"/>
          <w:lang w:eastAsia="zh-CN"/>
        </w:rPr>
        <w:t>投标人</w:t>
      </w:r>
      <w:r>
        <w:rPr>
          <w:rFonts w:hint="eastAsia" w:ascii="宋体" w:hAnsi="宋体" w:eastAsia="宋体" w:cs="宋体"/>
          <w:szCs w:val="21"/>
        </w:rPr>
        <w:t>，应提供相应的证明文件</w:t>
      </w:r>
      <w:r>
        <w:rPr>
          <w:rFonts w:hint="eastAsia" w:ascii="宋体" w:hAnsi="宋体" w:eastAsia="宋体" w:cs="宋体"/>
          <w:szCs w:val="21"/>
          <w:lang w:eastAsia="zh-CN"/>
        </w:rPr>
        <w:t>复印件</w:t>
      </w:r>
      <w:r>
        <w:rPr>
          <w:rFonts w:hint="eastAsia" w:ascii="宋体" w:hAnsi="宋体" w:eastAsia="宋体" w:cs="宋体"/>
          <w:szCs w:val="21"/>
        </w:rPr>
        <w:t>加盖法人</w:t>
      </w:r>
      <w:r>
        <w:rPr>
          <w:rFonts w:hint="eastAsia" w:ascii="宋体" w:hAnsi="宋体" w:eastAsia="宋体" w:cs="宋体"/>
          <w:szCs w:val="21"/>
          <w:lang w:eastAsia="zh-CN"/>
        </w:rPr>
        <w:t>公章</w:t>
      </w:r>
      <w:r>
        <w:rPr>
          <w:rFonts w:hint="eastAsia" w:ascii="宋体" w:hAnsi="宋体" w:eastAsia="宋体" w:cs="宋体"/>
          <w:szCs w:val="21"/>
        </w:rPr>
        <w:t>。</w:t>
      </w:r>
    </w:p>
    <w:p>
      <w:pPr>
        <w:rPr>
          <w:rFonts w:hint="eastAsia" w:ascii="宋体" w:hAnsi="宋体" w:eastAsia="宋体" w:cs="宋体"/>
        </w:rPr>
      </w:pPr>
    </w:p>
    <w:p>
      <w:pPr>
        <w:pStyle w:val="19"/>
        <w:rPr>
          <w:rFonts w:hint="eastAsia"/>
          <w:lang w:eastAsia="zh-CN"/>
        </w:rPr>
      </w:pPr>
    </w:p>
    <w:p>
      <w:pPr>
        <w:pageBreakBefore/>
        <w:ind w:firstLine="2811" w:firstLineChars="1000"/>
        <w:outlineLvl w:val="0"/>
        <w:rPr>
          <w:rFonts w:hint="eastAsia" w:ascii="Arial" w:hAnsi="Arial" w:cs="Arial"/>
          <w:b/>
          <w:kern w:val="0"/>
          <w:sz w:val="28"/>
          <w:szCs w:val="28"/>
        </w:rPr>
      </w:pPr>
      <w:r>
        <w:rPr>
          <w:rFonts w:hint="eastAsia" w:ascii="Arial" w:hAnsi="Arial" w:cs="Arial"/>
          <w:b/>
          <w:kern w:val="0"/>
          <w:sz w:val="28"/>
          <w:szCs w:val="28"/>
          <w:lang w:eastAsia="zh-CN"/>
        </w:rPr>
        <w:t>第六部分</w:t>
      </w:r>
      <w:r>
        <w:rPr>
          <w:rFonts w:hint="eastAsia" w:ascii="Arial" w:hAnsi="Arial" w:cs="Arial"/>
          <w:b/>
          <w:kern w:val="0"/>
          <w:sz w:val="28"/>
          <w:szCs w:val="28"/>
        </w:rPr>
        <w:t>评标标准和评标方法</w:t>
      </w:r>
      <w:bookmarkEnd w:id="12"/>
    </w:p>
    <w:p>
      <w:pPr>
        <w:pStyle w:val="52"/>
        <w:jc w:val="left"/>
        <w:rPr>
          <w:sz w:val="21"/>
          <w:szCs w:val="21"/>
        </w:rPr>
      </w:pPr>
    </w:p>
    <w:p>
      <w:pPr>
        <w:pStyle w:val="106"/>
        <w:numPr>
          <w:ilvl w:val="0"/>
          <w:numId w:val="7"/>
        </w:numPr>
        <w:snapToGrid w:val="0"/>
        <w:spacing w:line="480" w:lineRule="exact"/>
        <w:ind w:left="876" w:leftChars="0" w:firstLineChars="0"/>
        <w:rPr>
          <w:rFonts w:hint="eastAsia" w:ascii="宋体" w:hAnsi="宋体" w:eastAsia="宋体" w:cs="宋体"/>
          <w:b/>
          <w:bCs w:val="0"/>
          <w:sz w:val="21"/>
          <w:szCs w:val="21"/>
        </w:rPr>
      </w:pPr>
      <w:r>
        <w:rPr>
          <w:rFonts w:hint="eastAsia" w:cs="宋体"/>
          <w:b/>
          <w:bCs w:val="0"/>
          <w:sz w:val="21"/>
          <w:szCs w:val="21"/>
          <w:lang w:eastAsia="zh-CN"/>
        </w:rPr>
        <w:t>投标</w:t>
      </w:r>
      <w:r>
        <w:rPr>
          <w:rFonts w:hint="eastAsia" w:ascii="宋体" w:hAnsi="宋体" w:eastAsia="宋体" w:cs="宋体"/>
          <w:b/>
          <w:bCs w:val="0"/>
          <w:sz w:val="21"/>
          <w:szCs w:val="21"/>
        </w:rPr>
        <w:t>文件的有效性、完整性、响应程度检查的内容及标准</w:t>
      </w:r>
    </w:p>
    <w:tbl>
      <w:tblPr>
        <w:tblStyle w:val="59"/>
        <w:tblW w:w="8753"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13"/>
        <w:gridCol w:w="2689"/>
        <w:gridCol w:w="535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3" w:type="dxa"/>
            <w:noWrap w:val="0"/>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序号</w:t>
            </w:r>
          </w:p>
        </w:tc>
        <w:tc>
          <w:tcPr>
            <w:tcW w:w="2689" w:type="dxa"/>
            <w:noWrap w:val="0"/>
            <w:vAlign w:val="top"/>
          </w:tcPr>
          <w:p>
            <w:pPr>
              <w:rPr>
                <w:rFonts w:hint="eastAsia" w:ascii="宋体" w:hAnsi="宋体" w:eastAsia="宋体" w:cs="宋体"/>
                <w:b w:val="0"/>
                <w:bCs/>
                <w:sz w:val="21"/>
                <w:szCs w:val="21"/>
              </w:rPr>
            </w:pPr>
            <w:r>
              <w:rPr>
                <w:rFonts w:hint="eastAsia" w:ascii="宋体" w:hAnsi="宋体" w:eastAsia="宋体" w:cs="宋体"/>
                <w:b w:val="0"/>
                <w:bCs/>
                <w:sz w:val="21"/>
                <w:szCs w:val="21"/>
              </w:rPr>
              <w:t>内容</w:t>
            </w:r>
          </w:p>
        </w:tc>
        <w:tc>
          <w:tcPr>
            <w:tcW w:w="5351" w:type="dxa"/>
            <w:noWrap w:val="0"/>
            <w:vAlign w:val="top"/>
          </w:tcPr>
          <w:p>
            <w:pPr>
              <w:rPr>
                <w:rFonts w:hint="eastAsia" w:ascii="宋体" w:hAnsi="宋体" w:eastAsia="宋体" w:cs="宋体"/>
                <w:b w:val="0"/>
                <w:bCs/>
                <w:sz w:val="21"/>
                <w:szCs w:val="21"/>
              </w:rPr>
            </w:pPr>
            <w:r>
              <w:rPr>
                <w:rFonts w:hint="eastAsia" w:ascii="宋体" w:hAnsi="宋体" w:eastAsia="宋体" w:cs="宋体"/>
                <w:b w:val="0"/>
                <w:bCs/>
                <w:sz w:val="21"/>
                <w:szCs w:val="21"/>
              </w:rPr>
              <w:t>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3" w:type="dxa"/>
            <w:noWrap w:val="0"/>
            <w:vAlign w:val="center"/>
          </w:tcPr>
          <w:p>
            <w:pPr>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1</w:t>
            </w:r>
          </w:p>
        </w:tc>
        <w:tc>
          <w:tcPr>
            <w:tcW w:w="2689" w:type="dxa"/>
            <w:noWrap w:val="0"/>
            <w:vAlign w:val="top"/>
          </w:tcPr>
          <w:p>
            <w:pPr>
              <w:rPr>
                <w:rFonts w:hint="eastAsia" w:ascii="宋体" w:hAnsi="宋体" w:eastAsia="宋体" w:cs="宋体"/>
                <w:b w:val="0"/>
                <w:bCs/>
                <w:sz w:val="21"/>
                <w:szCs w:val="21"/>
                <w:lang w:eastAsia="zh-CN"/>
              </w:rPr>
            </w:pPr>
            <w:r>
              <w:rPr>
                <w:rFonts w:hint="eastAsia" w:ascii="宋体" w:hAnsi="宋体" w:cs="宋体"/>
                <w:b w:val="0"/>
                <w:bCs/>
                <w:sz w:val="21"/>
                <w:szCs w:val="21"/>
                <w:lang w:eastAsia="zh-CN"/>
              </w:rPr>
              <w:t>投标函</w:t>
            </w:r>
          </w:p>
        </w:tc>
        <w:tc>
          <w:tcPr>
            <w:tcW w:w="5351" w:type="dxa"/>
            <w:noWrap w:val="0"/>
            <w:vAlign w:val="top"/>
          </w:tcPr>
          <w:p>
            <w:pPr>
              <w:rPr>
                <w:rFonts w:hint="eastAsia" w:ascii="宋体" w:hAnsi="宋体" w:eastAsia="宋体" w:cs="宋体"/>
                <w:b w:val="0"/>
                <w:bCs/>
                <w:sz w:val="21"/>
                <w:szCs w:val="21"/>
              </w:rPr>
            </w:pPr>
            <w:r>
              <w:rPr>
                <w:rFonts w:hint="eastAsia" w:ascii="宋体" w:hAnsi="宋体" w:eastAsia="宋体" w:cs="宋体"/>
                <w:b w:val="0"/>
                <w:bCs/>
                <w:sz w:val="21"/>
                <w:szCs w:val="21"/>
              </w:rPr>
              <w:t>1、所有</w:t>
            </w:r>
            <w:r>
              <w:rPr>
                <w:rFonts w:hint="eastAsia" w:ascii="宋体" w:hAnsi="宋体" w:cs="宋体"/>
                <w:b w:val="0"/>
                <w:bCs/>
                <w:sz w:val="21"/>
                <w:szCs w:val="21"/>
                <w:lang w:eastAsia="zh-CN"/>
              </w:rPr>
              <w:t>投标</w:t>
            </w:r>
            <w:r>
              <w:rPr>
                <w:rFonts w:hint="eastAsia" w:ascii="宋体" w:hAnsi="宋体" w:eastAsia="宋体" w:cs="宋体"/>
                <w:b w:val="0"/>
                <w:bCs/>
                <w:sz w:val="21"/>
                <w:szCs w:val="21"/>
              </w:rPr>
              <w:t>报价均以人民币/元为计算单位。</w:t>
            </w:r>
          </w:p>
          <w:p>
            <w:pPr>
              <w:rPr>
                <w:rFonts w:hint="eastAsia" w:ascii="宋体" w:hAnsi="宋体" w:eastAsia="宋体" w:cs="宋体"/>
                <w:b w:val="0"/>
                <w:bCs/>
                <w:sz w:val="21"/>
                <w:szCs w:val="21"/>
              </w:rPr>
            </w:pPr>
            <w:r>
              <w:rPr>
                <w:rFonts w:hint="eastAsia" w:ascii="宋体" w:hAnsi="宋体" w:eastAsia="宋体" w:cs="宋体"/>
                <w:b w:val="0"/>
                <w:bCs/>
                <w:sz w:val="21"/>
                <w:szCs w:val="21"/>
              </w:rPr>
              <w:t>2、不接受可选择或可调整的报价。</w:t>
            </w:r>
          </w:p>
          <w:p>
            <w:pPr>
              <w:rPr>
                <w:rFonts w:hint="eastAsia" w:ascii="宋体" w:hAnsi="宋体" w:eastAsia="宋体" w:cs="宋体"/>
                <w:b w:val="0"/>
                <w:bCs/>
                <w:sz w:val="21"/>
                <w:szCs w:val="21"/>
              </w:rPr>
            </w:pPr>
            <w:r>
              <w:rPr>
                <w:rFonts w:hint="eastAsia" w:ascii="宋体" w:hAnsi="宋体" w:cs="宋体"/>
                <w:b w:val="0"/>
                <w:bCs/>
                <w:sz w:val="21"/>
                <w:szCs w:val="21"/>
                <w:lang w:val="en-US" w:eastAsia="zh-CN"/>
              </w:rPr>
              <w:t>3、</w:t>
            </w:r>
            <w:r>
              <w:rPr>
                <w:rFonts w:hint="eastAsia" w:ascii="宋体" w:hAnsi="宋体" w:eastAsia="宋体" w:cs="宋体"/>
                <w:b w:val="0"/>
                <w:bCs/>
                <w:sz w:val="21"/>
                <w:szCs w:val="21"/>
              </w:rPr>
              <w:t>不接受超出本项目预算金额或最高限价的报价</w:t>
            </w:r>
          </w:p>
          <w:p>
            <w:pPr>
              <w:rPr>
                <w:rFonts w:hint="eastAsia" w:ascii="宋体" w:hAnsi="宋体" w:eastAsia="宋体" w:cs="宋体"/>
                <w:b w:val="0"/>
                <w:bCs/>
                <w:sz w:val="21"/>
                <w:szCs w:val="21"/>
              </w:rPr>
            </w:pPr>
            <w:r>
              <w:rPr>
                <w:rFonts w:hint="eastAsia" w:ascii="宋体" w:hAnsi="宋体" w:eastAsia="宋体" w:cs="宋体"/>
                <w:b w:val="0"/>
                <w:bCs/>
                <w:sz w:val="21"/>
                <w:szCs w:val="21"/>
              </w:rPr>
              <w:t>内容齐全，</w:t>
            </w:r>
            <w:r>
              <w:rPr>
                <w:rFonts w:hint="eastAsia" w:ascii="宋体" w:hAnsi="宋体" w:eastAsia="宋体" w:cs="宋体"/>
                <w:b w:val="0"/>
                <w:bCs/>
                <w:sz w:val="21"/>
                <w:szCs w:val="21"/>
                <w:lang w:eastAsia="zh-CN"/>
              </w:rPr>
              <w:t>签章</w:t>
            </w:r>
            <w:r>
              <w:rPr>
                <w:rFonts w:hint="eastAsia" w:ascii="宋体" w:hAnsi="宋体" w:eastAsia="宋体" w:cs="宋体"/>
                <w:b w:val="0"/>
                <w:bCs/>
                <w:sz w:val="21"/>
                <w:szCs w:val="21"/>
              </w:rPr>
              <w:t>符合要求。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3" w:type="dxa"/>
            <w:noWrap w:val="0"/>
            <w:vAlign w:val="center"/>
          </w:tcPr>
          <w:p>
            <w:pPr>
              <w:jc w:val="center"/>
              <w:rPr>
                <w:rFonts w:hint="eastAsia" w:ascii="宋体" w:hAnsi="宋体" w:eastAsia="宋体" w:cs="宋体"/>
                <w:b w:val="0"/>
                <w:bCs/>
                <w:sz w:val="21"/>
                <w:szCs w:val="21"/>
                <w:lang w:eastAsia="zh-CN"/>
              </w:rPr>
            </w:pPr>
            <w:r>
              <w:rPr>
                <w:rFonts w:hint="eastAsia" w:ascii="宋体" w:hAnsi="宋体" w:cs="宋体"/>
                <w:b w:val="0"/>
                <w:bCs/>
                <w:sz w:val="21"/>
                <w:szCs w:val="21"/>
                <w:lang w:val="en-US" w:eastAsia="zh-CN"/>
              </w:rPr>
              <w:t>2</w:t>
            </w:r>
          </w:p>
        </w:tc>
        <w:tc>
          <w:tcPr>
            <w:tcW w:w="2689" w:type="dxa"/>
            <w:noWrap w:val="0"/>
            <w:vAlign w:val="top"/>
          </w:tcPr>
          <w:p>
            <w:pP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商务要求响应内容</w:t>
            </w:r>
          </w:p>
        </w:tc>
        <w:tc>
          <w:tcPr>
            <w:tcW w:w="5351" w:type="dxa"/>
            <w:noWrap w:val="0"/>
            <w:vAlign w:val="top"/>
          </w:tcPr>
          <w:p>
            <w:pP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对照本文件第四部分中“商务要求”内容和</w:t>
            </w:r>
            <w:r>
              <w:rPr>
                <w:rFonts w:hint="eastAsia" w:ascii="宋体" w:hAnsi="宋体" w:cs="宋体"/>
                <w:b w:val="0"/>
                <w:bCs/>
                <w:sz w:val="21"/>
                <w:szCs w:val="21"/>
                <w:lang w:eastAsia="zh-CN"/>
              </w:rPr>
              <w:t>投标文件</w:t>
            </w:r>
            <w:r>
              <w:rPr>
                <w:rFonts w:hint="eastAsia" w:ascii="宋体" w:hAnsi="宋体" w:eastAsia="宋体" w:cs="宋体"/>
                <w:b w:val="0"/>
                <w:bCs/>
                <w:sz w:val="21"/>
                <w:szCs w:val="21"/>
              </w:rPr>
              <w:t>的响应内容进行审查，没有做出实质性响应的做无效</w:t>
            </w:r>
            <w:r>
              <w:rPr>
                <w:rFonts w:hint="eastAsia" w:ascii="宋体" w:hAnsi="宋体" w:cs="宋体"/>
                <w:b w:val="0"/>
                <w:bCs/>
                <w:sz w:val="21"/>
                <w:szCs w:val="21"/>
                <w:lang w:eastAsia="zh-CN"/>
              </w:rPr>
              <w:t>投标</w:t>
            </w:r>
            <w:r>
              <w:rPr>
                <w:rFonts w:hint="eastAsia" w:ascii="宋体" w:hAnsi="宋体" w:eastAsia="宋体" w:cs="宋体"/>
                <w:b w:val="0"/>
                <w:bCs/>
                <w:sz w:val="21"/>
                <w:szCs w:val="21"/>
              </w:rPr>
              <w:t>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3" w:type="dxa"/>
            <w:noWrap w:val="0"/>
            <w:vAlign w:val="center"/>
          </w:tcPr>
          <w:p>
            <w:pPr>
              <w:jc w:val="center"/>
              <w:rPr>
                <w:rFonts w:hint="eastAsia" w:ascii="宋体" w:hAnsi="宋体" w:eastAsia="宋体" w:cs="宋体"/>
                <w:b w:val="0"/>
                <w:bCs/>
                <w:sz w:val="21"/>
                <w:szCs w:val="21"/>
                <w:lang w:eastAsia="zh-CN"/>
              </w:rPr>
            </w:pPr>
            <w:r>
              <w:rPr>
                <w:rFonts w:hint="eastAsia" w:ascii="宋体" w:hAnsi="宋体" w:cs="宋体"/>
                <w:b w:val="0"/>
                <w:bCs/>
                <w:sz w:val="21"/>
                <w:szCs w:val="21"/>
                <w:lang w:val="en-US" w:eastAsia="zh-CN"/>
              </w:rPr>
              <w:t>3</w:t>
            </w:r>
          </w:p>
        </w:tc>
        <w:tc>
          <w:tcPr>
            <w:tcW w:w="2689" w:type="dxa"/>
            <w:noWrap w:val="0"/>
            <w:vAlign w:val="top"/>
          </w:tcPr>
          <w:p>
            <w:pP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实质性要求响应内容</w:t>
            </w:r>
          </w:p>
        </w:tc>
        <w:tc>
          <w:tcPr>
            <w:tcW w:w="5351" w:type="dxa"/>
            <w:noWrap w:val="0"/>
            <w:vAlign w:val="top"/>
          </w:tcPr>
          <w:p>
            <w:pPr>
              <w:rPr>
                <w:rFonts w:hint="eastAsia" w:eastAsia="宋体"/>
                <w:b w:val="0"/>
                <w:bCs/>
                <w:sz w:val="21"/>
                <w:szCs w:val="21"/>
                <w:lang w:eastAsia="zh-CN"/>
              </w:rPr>
            </w:pPr>
            <w:r>
              <w:rPr>
                <w:rFonts w:hint="eastAsia"/>
                <w:b w:val="0"/>
                <w:bCs/>
                <w:sz w:val="21"/>
                <w:szCs w:val="21"/>
              </w:rPr>
              <w:t>对照本文件第四部分中“实质性要求”内容和</w:t>
            </w:r>
            <w:r>
              <w:rPr>
                <w:rFonts w:hint="eastAsia"/>
                <w:b w:val="0"/>
                <w:bCs/>
                <w:sz w:val="21"/>
                <w:szCs w:val="21"/>
                <w:lang w:eastAsia="zh-CN"/>
              </w:rPr>
              <w:t>投标文件</w:t>
            </w:r>
            <w:r>
              <w:rPr>
                <w:rFonts w:hint="eastAsia"/>
                <w:b w:val="0"/>
                <w:bCs/>
                <w:sz w:val="21"/>
                <w:szCs w:val="21"/>
              </w:rPr>
              <w:t>的响应内容进行审查，没有做出实质性响应的做无效</w:t>
            </w:r>
            <w:r>
              <w:rPr>
                <w:rFonts w:hint="eastAsia"/>
                <w:b w:val="0"/>
                <w:bCs/>
                <w:sz w:val="21"/>
                <w:szCs w:val="21"/>
                <w:lang w:eastAsia="zh-CN"/>
              </w:rPr>
              <w:t>投标</w:t>
            </w:r>
            <w:r>
              <w:rPr>
                <w:rFonts w:hint="eastAsia"/>
                <w:b w:val="0"/>
                <w:bCs/>
                <w:sz w:val="21"/>
                <w:szCs w:val="21"/>
              </w:rPr>
              <w:t>处理。</w:t>
            </w:r>
          </w:p>
          <w:p>
            <w:pPr>
              <w:pStyle w:val="39"/>
              <w:rPr>
                <w:rFonts w:hint="eastAsia"/>
                <w:b w:val="0"/>
                <w:bCs/>
                <w:sz w:val="21"/>
                <w:szCs w:val="21"/>
                <w:lang w:val="en-US" w:eastAsia="zh-C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3" w:type="dxa"/>
            <w:noWrap w:val="0"/>
            <w:vAlign w:val="center"/>
          </w:tcPr>
          <w:p>
            <w:pPr>
              <w:jc w:val="center"/>
              <w:rPr>
                <w:rFonts w:hint="default" w:ascii="宋体" w:hAnsi="宋体" w:cs="宋体"/>
                <w:b w:val="0"/>
                <w:bCs/>
                <w:sz w:val="21"/>
                <w:szCs w:val="21"/>
                <w:lang w:val="en-US" w:eastAsia="zh-CN"/>
              </w:rPr>
            </w:pPr>
            <w:r>
              <w:rPr>
                <w:rFonts w:hint="eastAsia" w:ascii="宋体" w:hAnsi="宋体" w:cs="宋体"/>
                <w:b w:val="0"/>
                <w:bCs/>
                <w:sz w:val="21"/>
                <w:szCs w:val="21"/>
                <w:lang w:val="en-US" w:eastAsia="zh-CN"/>
              </w:rPr>
              <w:t>4</w:t>
            </w:r>
          </w:p>
        </w:tc>
        <w:tc>
          <w:tcPr>
            <w:tcW w:w="2689" w:type="dxa"/>
            <w:noWrap w:val="0"/>
            <w:vAlign w:val="top"/>
          </w:tcPr>
          <w:p>
            <w:pPr>
              <w:rPr>
                <w:rFonts w:hint="eastAsia" w:ascii="宋体" w:hAnsi="宋体" w:eastAsia="宋体" w:cs="宋体"/>
                <w:b w:val="0"/>
                <w:bCs/>
                <w:sz w:val="21"/>
                <w:szCs w:val="21"/>
                <w:lang w:eastAsia="zh-CN"/>
              </w:rPr>
            </w:pPr>
            <w:r>
              <w:rPr>
                <w:rFonts w:hint="eastAsia" w:ascii="宋体" w:hAnsi="宋体" w:cs="宋体"/>
                <w:b w:val="0"/>
                <w:bCs/>
                <w:sz w:val="21"/>
                <w:szCs w:val="21"/>
                <w:lang w:eastAsia="zh-CN"/>
              </w:rPr>
              <w:t>技术要求响应内容</w:t>
            </w:r>
          </w:p>
        </w:tc>
        <w:tc>
          <w:tcPr>
            <w:tcW w:w="5351" w:type="dxa"/>
            <w:noWrap w:val="0"/>
            <w:vAlign w:val="top"/>
          </w:tcPr>
          <w:p>
            <w:pPr>
              <w:rPr>
                <w:rFonts w:hint="eastAsia" w:eastAsia="宋体"/>
                <w:b w:val="0"/>
                <w:bCs/>
                <w:sz w:val="21"/>
                <w:szCs w:val="21"/>
                <w:lang w:eastAsia="zh-CN"/>
              </w:rPr>
            </w:pPr>
            <w:r>
              <w:rPr>
                <w:rFonts w:hint="eastAsia"/>
                <w:b w:val="0"/>
                <w:bCs/>
                <w:sz w:val="21"/>
                <w:szCs w:val="21"/>
              </w:rPr>
              <w:t>对照本文件第四部分的“技术需求”中标“★”的内容和响应文件的响应内容进行审查，没有做出实质性响应的做无效</w:t>
            </w:r>
            <w:r>
              <w:rPr>
                <w:rFonts w:hint="eastAsia"/>
                <w:b w:val="0"/>
                <w:bCs/>
                <w:sz w:val="21"/>
                <w:szCs w:val="21"/>
                <w:lang w:eastAsia="zh-CN"/>
              </w:rPr>
              <w:t>投标</w:t>
            </w:r>
            <w:r>
              <w:rPr>
                <w:rFonts w:hint="eastAsia"/>
                <w:b w:val="0"/>
                <w:bCs/>
                <w:sz w:val="21"/>
                <w:szCs w:val="21"/>
              </w:rPr>
              <w:t>处理。</w:t>
            </w:r>
          </w:p>
          <w:p>
            <w:pPr>
              <w:pStyle w:val="39"/>
              <w:rPr>
                <w:rFonts w:hint="eastAsia"/>
                <w:b w:val="0"/>
                <w:bCs/>
                <w:sz w:val="21"/>
                <w:szCs w:val="21"/>
                <w:lang w:val="en-US" w:eastAsia="zh-C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3" w:type="dxa"/>
            <w:noWrap w:val="0"/>
            <w:vAlign w:val="center"/>
          </w:tcPr>
          <w:p>
            <w:pPr>
              <w:jc w:val="center"/>
              <w:rPr>
                <w:rFonts w:hint="default" w:ascii="宋体" w:hAnsi="宋体" w:eastAsia="宋体" w:cs="宋体"/>
                <w:b w:val="0"/>
                <w:bCs/>
                <w:sz w:val="21"/>
                <w:szCs w:val="21"/>
                <w:lang w:val="en-US" w:eastAsia="zh-CN"/>
              </w:rPr>
            </w:pPr>
            <w:r>
              <w:rPr>
                <w:rFonts w:hint="eastAsia" w:ascii="宋体" w:hAnsi="宋体" w:cs="宋体"/>
                <w:b w:val="0"/>
                <w:bCs/>
                <w:sz w:val="21"/>
                <w:szCs w:val="21"/>
                <w:lang w:val="en-US" w:eastAsia="zh-CN"/>
              </w:rPr>
              <w:t>4</w:t>
            </w:r>
          </w:p>
        </w:tc>
        <w:tc>
          <w:tcPr>
            <w:tcW w:w="2689" w:type="dxa"/>
            <w:noWrap w:val="0"/>
            <w:vAlign w:val="top"/>
          </w:tcPr>
          <w:p>
            <w:pPr>
              <w:rPr>
                <w:rFonts w:hint="eastAsia" w:ascii="宋体" w:hAnsi="宋体" w:eastAsia="宋体" w:cs="宋体"/>
                <w:b w:val="0"/>
                <w:bCs/>
                <w:kern w:val="2"/>
                <w:sz w:val="21"/>
                <w:szCs w:val="21"/>
                <w:lang w:val="en-US" w:eastAsia="zh-CN" w:bidi="ar-SA"/>
              </w:rPr>
            </w:pPr>
            <w:r>
              <w:rPr>
                <w:rFonts w:hint="eastAsia" w:ascii="宋体" w:hAnsi="宋体" w:cs="宋体"/>
                <w:b w:val="0"/>
                <w:bCs/>
                <w:sz w:val="21"/>
                <w:szCs w:val="21"/>
                <w:lang w:eastAsia="zh-CN"/>
              </w:rPr>
              <w:t>招标</w:t>
            </w:r>
            <w:r>
              <w:rPr>
                <w:rFonts w:hint="eastAsia" w:ascii="宋体" w:hAnsi="宋体" w:eastAsia="宋体" w:cs="宋体"/>
                <w:b w:val="0"/>
                <w:bCs/>
                <w:sz w:val="21"/>
                <w:szCs w:val="21"/>
              </w:rPr>
              <w:t>文件要求或</w:t>
            </w:r>
            <w:r>
              <w:rPr>
                <w:rFonts w:hint="eastAsia" w:ascii="宋体" w:hAnsi="宋体" w:cs="宋体"/>
                <w:b w:val="0"/>
                <w:bCs/>
                <w:sz w:val="21"/>
                <w:szCs w:val="21"/>
                <w:lang w:eastAsia="zh-CN"/>
              </w:rPr>
              <w:t>投标人</w:t>
            </w:r>
            <w:r>
              <w:rPr>
                <w:rFonts w:hint="eastAsia" w:ascii="宋体" w:hAnsi="宋体" w:eastAsia="宋体" w:cs="宋体"/>
                <w:b w:val="0"/>
                <w:bCs/>
                <w:sz w:val="21"/>
                <w:szCs w:val="21"/>
              </w:rPr>
              <w:t>认为需要提供的其他商务技术材料/文件。</w:t>
            </w:r>
          </w:p>
        </w:tc>
        <w:tc>
          <w:tcPr>
            <w:tcW w:w="5351" w:type="dxa"/>
            <w:noWrap w:val="0"/>
            <w:vAlign w:val="top"/>
          </w:tcPr>
          <w:p>
            <w:pP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技术材料/文件</w:t>
            </w:r>
            <w:r>
              <w:rPr>
                <w:rFonts w:hint="eastAsia" w:ascii="宋体" w:hAnsi="宋体" w:eastAsia="宋体" w:cs="宋体"/>
                <w:b w:val="0"/>
                <w:bCs/>
                <w:sz w:val="21"/>
                <w:szCs w:val="21"/>
                <w:lang w:eastAsia="zh-CN"/>
              </w:rPr>
              <w:t>复印件清晰</w:t>
            </w:r>
            <w:r>
              <w:rPr>
                <w:rFonts w:hint="eastAsia" w:ascii="宋体" w:hAnsi="宋体" w:eastAsia="宋体" w:cs="宋体"/>
                <w:b w:val="0"/>
                <w:bCs/>
                <w:sz w:val="21"/>
                <w:szCs w:val="21"/>
              </w:rPr>
              <w:t>。</w:t>
            </w:r>
          </w:p>
        </w:tc>
      </w:tr>
    </w:tbl>
    <w:p>
      <w:pPr>
        <w:pStyle w:val="106"/>
        <w:snapToGrid w:val="0"/>
        <w:spacing w:line="480" w:lineRule="exact"/>
        <w:rPr>
          <w:rFonts w:hint="eastAsia" w:ascii="宋体" w:hAnsi="宋体" w:eastAsia="宋体" w:cs="宋体"/>
          <w:b w:val="0"/>
          <w:bCs/>
          <w:sz w:val="21"/>
          <w:szCs w:val="21"/>
        </w:rPr>
      </w:pPr>
      <w:r>
        <w:rPr>
          <w:rFonts w:hint="eastAsia" w:ascii="宋体" w:hAnsi="宋体" w:eastAsia="宋体" w:cs="宋体"/>
          <w:b w:val="0"/>
          <w:bCs/>
          <w:sz w:val="21"/>
          <w:szCs w:val="21"/>
        </w:rPr>
        <w:t>说明：符合性检查的内容，经</w:t>
      </w:r>
      <w:r>
        <w:rPr>
          <w:rFonts w:hint="eastAsia" w:cs="宋体"/>
          <w:b w:val="0"/>
          <w:bCs/>
          <w:sz w:val="21"/>
          <w:szCs w:val="21"/>
          <w:lang w:eastAsia="zh-CN"/>
        </w:rPr>
        <w:t>评审小组</w:t>
      </w:r>
      <w:r>
        <w:rPr>
          <w:rFonts w:hint="eastAsia" w:ascii="宋体" w:hAnsi="宋体" w:eastAsia="宋体" w:cs="宋体"/>
          <w:b w:val="0"/>
          <w:bCs/>
          <w:sz w:val="21"/>
          <w:szCs w:val="21"/>
        </w:rPr>
        <w:t>共同认定没有做出实质性响应的，将导致</w:t>
      </w:r>
      <w:r>
        <w:rPr>
          <w:rFonts w:hint="eastAsia" w:cs="宋体"/>
          <w:b w:val="0"/>
          <w:bCs/>
          <w:sz w:val="21"/>
          <w:szCs w:val="21"/>
          <w:lang w:eastAsia="zh-CN"/>
        </w:rPr>
        <w:t>投标</w:t>
      </w:r>
      <w:r>
        <w:rPr>
          <w:rFonts w:hint="eastAsia" w:ascii="宋体" w:hAnsi="宋体" w:eastAsia="宋体" w:cs="宋体"/>
          <w:b w:val="0"/>
          <w:bCs/>
          <w:sz w:val="21"/>
          <w:szCs w:val="21"/>
        </w:rPr>
        <w:t>无效。</w:t>
      </w:r>
    </w:p>
    <w:p>
      <w:pPr>
        <w:pStyle w:val="106"/>
        <w:snapToGrid w:val="0"/>
        <w:spacing w:line="480" w:lineRule="exact"/>
        <w:ind w:left="945" w:leftChars="300" w:hanging="315" w:hangingChars="150"/>
        <w:rPr>
          <w:rFonts w:hint="eastAsia" w:ascii="宋体" w:hAnsi="宋体" w:eastAsia="宋体" w:cs="宋体"/>
          <w:b w:val="0"/>
          <w:bCs/>
          <w:sz w:val="21"/>
          <w:szCs w:val="21"/>
        </w:rPr>
      </w:pPr>
      <w:r>
        <w:rPr>
          <w:rFonts w:hint="eastAsia" w:cs="宋体"/>
          <w:b w:val="0"/>
          <w:bCs/>
          <w:sz w:val="21"/>
          <w:szCs w:val="21"/>
          <w:lang w:eastAsia="zh-CN"/>
        </w:rPr>
        <w:t>二</w:t>
      </w:r>
      <w:r>
        <w:rPr>
          <w:rFonts w:hint="eastAsia" w:ascii="宋体" w:hAnsi="宋体" w:eastAsia="宋体" w:cs="宋体"/>
          <w:b w:val="0"/>
          <w:bCs/>
          <w:sz w:val="21"/>
          <w:szCs w:val="21"/>
        </w:rPr>
        <w:t>、无效</w:t>
      </w:r>
      <w:r>
        <w:rPr>
          <w:rFonts w:hint="eastAsia" w:cs="宋体"/>
          <w:b w:val="0"/>
          <w:bCs/>
          <w:sz w:val="21"/>
          <w:szCs w:val="21"/>
          <w:lang w:eastAsia="zh-CN"/>
        </w:rPr>
        <w:t>投标</w:t>
      </w:r>
      <w:r>
        <w:rPr>
          <w:rFonts w:hint="eastAsia" w:ascii="宋体" w:hAnsi="宋体" w:eastAsia="宋体" w:cs="宋体"/>
          <w:b w:val="0"/>
          <w:bCs/>
          <w:sz w:val="21"/>
          <w:szCs w:val="21"/>
        </w:rPr>
        <w:t>的情形</w:t>
      </w:r>
    </w:p>
    <w:p>
      <w:pPr>
        <w:pStyle w:val="106"/>
        <w:snapToGrid w:val="0"/>
        <w:spacing w:line="480" w:lineRule="exact"/>
        <w:ind w:left="420" w:leftChars="200" w:firstLine="210" w:firstLineChars="100"/>
        <w:rPr>
          <w:rFonts w:hint="eastAsia" w:ascii="宋体" w:hAnsi="宋体" w:eastAsia="宋体" w:cs="宋体"/>
          <w:b w:val="0"/>
          <w:bCs/>
          <w:sz w:val="21"/>
          <w:szCs w:val="21"/>
        </w:rPr>
      </w:pPr>
      <w:r>
        <w:rPr>
          <w:rFonts w:hint="eastAsia" w:ascii="宋体" w:hAnsi="宋体" w:eastAsia="宋体" w:cs="宋体"/>
          <w:b w:val="0"/>
          <w:bCs/>
          <w:sz w:val="21"/>
          <w:szCs w:val="21"/>
        </w:rPr>
        <w:t>未通过资格性、符合性审查的</w:t>
      </w:r>
      <w:r>
        <w:rPr>
          <w:rFonts w:hint="eastAsia" w:cs="宋体"/>
          <w:b w:val="0"/>
          <w:bCs/>
          <w:sz w:val="21"/>
          <w:szCs w:val="21"/>
          <w:lang w:eastAsia="zh-CN"/>
        </w:rPr>
        <w:t>投标文件</w:t>
      </w:r>
      <w:r>
        <w:rPr>
          <w:rFonts w:hint="eastAsia" w:ascii="宋体" w:hAnsi="宋体" w:eastAsia="宋体" w:cs="宋体"/>
          <w:b w:val="0"/>
          <w:bCs/>
          <w:sz w:val="21"/>
          <w:szCs w:val="21"/>
        </w:rPr>
        <w:t>为无效</w:t>
      </w:r>
      <w:r>
        <w:rPr>
          <w:rFonts w:hint="eastAsia" w:cs="宋体"/>
          <w:b w:val="0"/>
          <w:bCs/>
          <w:sz w:val="21"/>
          <w:szCs w:val="21"/>
          <w:lang w:eastAsia="zh-CN"/>
        </w:rPr>
        <w:t>投标</w:t>
      </w:r>
      <w:r>
        <w:rPr>
          <w:rFonts w:hint="eastAsia" w:ascii="宋体" w:hAnsi="宋体" w:eastAsia="宋体" w:cs="宋体"/>
          <w:b w:val="0"/>
          <w:bCs/>
          <w:sz w:val="21"/>
          <w:szCs w:val="21"/>
        </w:rPr>
        <w:t>。</w:t>
      </w:r>
    </w:p>
    <w:p>
      <w:pPr>
        <w:pStyle w:val="106"/>
        <w:snapToGrid w:val="0"/>
        <w:spacing w:line="480" w:lineRule="exact"/>
        <w:ind w:left="420" w:leftChars="200" w:firstLine="250" w:firstLineChars="100"/>
        <w:rPr>
          <w:rFonts w:hint="eastAsia" w:ascii="宋体" w:hAnsi="宋体" w:eastAsia="宋体" w:cs="宋体"/>
          <w:b/>
          <w:bCs/>
          <w:sz w:val="21"/>
          <w:szCs w:val="21"/>
        </w:rPr>
      </w:pPr>
      <w:r>
        <w:rPr>
          <w:rFonts w:hint="eastAsia" w:cs="宋体"/>
          <w:b w:val="0"/>
          <w:bCs w:val="0"/>
          <w:spacing w:val="20"/>
          <w:sz w:val="21"/>
          <w:szCs w:val="21"/>
          <w:lang w:eastAsia="zh-CN"/>
        </w:rPr>
        <w:t>三</w:t>
      </w:r>
      <w:r>
        <w:rPr>
          <w:rFonts w:hint="eastAsia" w:ascii="宋体" w:hAnsi="宋体" w:eastAsia="宋体" w:cs="宋体"/>
          <w:b w:val="0"/>
          <w:bCs w:val="0"/>
          <w:spacing w:val="20"/>
          <w:sz w:val="21"/>
          <w:szCs w:val="21"/>
          <w:lang w:eastAsia="zh-CN"/>
        </w:rPr>
        <w:t>、</w:t>
      </w:r>
      <w:r>
        <w:rPr>
          <w:rFonts w:hint="eastAsia" w:ascii="宋体" w:hAnsi="宋体" w:eastAsia="宋体" w:cs="宋体"/>
          <w:b/>
          <w:bCs/>
          <w:sz w:val="21"/>
          <w:szCs w:val="21"/>
        </w:rPr>
        <w:t>评标方法及中标条件</w:t>
      </w:r>
    </w:p>
    <w:p>
      <w:pPr>
        <w:pStyle w:val="106"/>
        <w:snapToGrid w:val="0"/>
        <w:spacing w:line="480" w:lineRule="exact"/>
        <w:ind w:left="420" w:leftChars="200"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本次评标采用综合评分法，投标文件满足招标文件全部实质性要求，且按照评审因素（包括投标报价、技术或者服务水平、履约能力、售后服务等。）的量化指标进行评审（具体评分见综合评分法评分细则），得分最高的投标人为中标人或中标第一候选人。</w:t>
      </w:r>
      <w:bookmarkStart w:id="13" w:name="_Toc352761951"/>
      <w:bookmarkStart w:id="14" w:name="_Toc326247998"/>
    </w:p>
    <w:p>
      <w:pPr>
        <w:pStyle w:val="106"/>
        <w:snapToGrid w:val="0"/>
        <w:spacing w:line="480" w:lineRule="exact"/>
        <w:ind w:left="420" w:leftChars="200" w:firstLine="420" w:firstLineChars="200"/>
        <w:rPr>
          <w:rFonts w:hint="eastAsia" w:ascii="宋体" w:hAnsi="宋体" w:eastAsia="宋体" w:cs="宋体"/>
          <w:b w:val="0"/>
          <w:bCs w:val="0"/>
          <w:sz w:val="21"/>
          <w:szCs w:val="21"/>
        </w:rPr>
      </w:pPr>
    </w:p>
    <w:p>
      <w:pPr>
        <w:pStyle w:val="106"/>
        <w:snapToGrid w:val="0"/>
        <w:spacing w:line="480" w:lineRule="exact"/>
        <w:ind w:left="420" w:leftChars="200" w:firstLine="420" w:firstLineChars="200"/>
        <w:rPr>
          <w:rFonts w:hint="eastAsia" w:ascii="宋体" w:hAnsi="宋体" w:eastAsia="宋体" w:cs="宋体"/>
          <w:b w:val="0"/>
          <w:bCs w:val="0"/>
          <w:sz w:val="21"/>
          <w:szCs w:val="21"/>
        </w:rPr>
      </w:pPr>
    </w:p>
    <w:p>
      <w:pPr>
        <w:pStyle w:val="106"/>
        <w:snapToGrid w:val="0"/>
        <w:spacing w:line="480" w:lineRule="exact"/>
        <w:ind w:left="420" w:leftChars="200" w:firstLine="420" w:firstLineChars="200"/>
        <w:rPr>
          <w:rFonts w:hint="eastAsia" w:ascii="宋体" w:hAnsi="宋体" w:eastAsia="宋体" w:cs="宋体"/>
          <w:b w:val="0"/>
          <w:bCs w:val="0"/>
          <w:sz w:val="21"/>
          <w:szCs w:val="21"/>
        </w:rPr>
      </w:pPr>
    </w:p>
    <w:p>
      <w:pPr>
        <w:pStyle w:val="106"/>
        <w:snapToGrid w:val="0"/>
        <w:spacing w:line="480" w:lineRule="exact"/>
        <w:ind w:left="420" w:leftChars="200" w:firstLine="420" w:firstLineChars="200"/>
        <w:rPr>
          <w:rFonts w:hint="eastAsia" w:ascii="宋体" w:hAnsi="宋体" w:eastAsia="宋体" w:cs="宋体"/>
          <w:b w:val="0"/>
          <w:bCs w:val="0"/>
          <w:sz w:val="21"/>
          <w:szCs w:val="21"/>
        </w:rPr>
      </w:pPr>
    </w:p>
    <w:p>
      <w:pPr>
        <w:pStyle w:val="106"/>
        <w:snapToGrid w:val="0"/>
        <w:spacing w:line="480" w:lineRule="exact"/>
        <w:ind w:left="420" w:leftChars="200" w:firstLine="420" w:firstLineChars="200"/>
        <w:rPr>
          <w:rFonts w:hint="eastAsia" w:ascii="宋体" w:hAnsi="宋体" w:eastAsia="宋体" w:cs="宋体"/>
          <w:b w:val="0"/>
          <w:bCs w:val="0"/>
          <w:sz w:val="21"/>
          <w:szCs w:val="21"/>
        </w:rPr>
      </w:pPr>
    </w:p>
    <w:p>
      <w:pPr>
        <w:pStyle w:val="106"/>
        <w:snapToGrid w:val="0"/>
        <w:spacing w:line="480" w:lineRule="exact"/>
        <w:ind w:left="420" w:leftChars="200" w:firstLine="420" w:firstLineChars="200"/>
        <w:rPr>
          <w:rFonts w:hint="eastAsia" w:ascii="宋体" w:hAnsi="宋体" w:eastAsia="宋体" w:cs="宋体"/>
          <w:b w:val="0"/>
          <w:bCs w:val="0"/>
          <w:sz w:val="21"/>
          <w:szCs w:val="21"/>
        </w:rPr>
      </w:pPr>
    </w:p>
    <w:bookmarkEnd w:id="13"/>
    <w:bookmarkEnd w:id="14"/>
    <w:p>
      <w:pPr>
        <w:tabs>
          <w:tab w:val="left" w:pos="6574"/>
        </w:tabs>
        <w:rPr>
          <w:rFonts w:ascii="Arial" w:hAnsi="Arial" w:cs="Arial"/>
          <w:b/>
          <w:kern w:val="0"/>
          <w:szCs w:val="21"/>
        </w:rPr>
      </w:pPr>
      <w:r>
        <w:rPr>
          <w:rFonts w:hint="eastAsia" w:ascii="Arial" w:hAnsi="Arial" w:cs="Arial"/>
          <w:kern w:val="0"/>
          <w:szCs w:val="21"/>
          <w:lang w:eastAsia="zh-CN"/>
        </w:rPr>
        <w:t>综合评分法评分细则</w:t>
      </w:r>
      <w:r>
        <w:rPr>
          <w:rFonts w:ascii="Arial" w:hAnsi="Arial" w:cs="Arial"/>
          <w:b/>
          <w:kern w:val="0"/>
          <w:szCs w:val="21"/>
        </w:rPr>
        <w:tab/>
      </w:r>
    </w:p>
    <w:tbl>
      <w:tblPr>
        <w:tblStyle w:val="59"/>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评定内容及标准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firstLine="0" w:firstLineChars="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一、商务部分（10分）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9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firstLine="0" w:firstLineChars="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1、业绩（10分）</w:t>
            </w:r>
          </w:p>
          <w:p>
            <w:pPr>
              <w:keepNext w:val="0"/>
              <w:keepLines w:val="0"/>
              <w:pageBreakBefore w:val="0"/>
              <w:widowControl/>
              <w:kinsoku/>
              <w:wordWrap/>
              <w:overflowPunct/>
              <w:topLinePunct w:val="0"/>
              <w:autoSpaceDE/>
              <w:autoSpaceDN/>
              <w:bidi w:val="0"/>
              <w:adjustRightInd/>
              <w:snapToGrid/>
              <w:spacing w:line="480" w:lineRule="auto"/>
              <w:ind w:left="0" w:leftChars="0" w:firstLine="0" w:firstLineChars="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合同执行能力、投标人业绩：投标人合同案例以提供的合同为准，要求必须提供中标/成交通知书、与最终用户签订的合同首页、合同金额所在页、签字盖章页的复印件作为证明，每提供一个三年内签署的同类型合同项目案例得2分，最高得分为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firstLine="0" w:firstLineChars="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二、服务部分（20分）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firstLine="0" w:firstLineChars="0"/>
              <w:textAlignment w:val="auto"/>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1、项目</w:t>
            </w:r>
            <w:r>
              <w:rPr>
                <w:rFonts w:hint="eastAsia" w:ascii="宋体" w:hAnsi="宋体" w:eastAsia="宋体" w:cs="宋体"/>
                <w:b w:val="0"/>
                <w:bCs w:val="0"/>
                <w:kern w:val="2"/>
                <w:sz w:val="21"/>
                <w:szCs w:val="21"/>
                <w:lang w:val="zh-CN" w:eastAsia="zh-CN" w:bidi="ar-SA"/>
              </w:rPr>
              <w:t>实施方案</w:t>
            </w:r>
            <w:r>
              <w:rPr>
                <w:rFonts w:hint="eastAsia" w:ascii="宋体" w:hAnsi="宋体" w:eastAsia="宋体" w:cs="宋体"/>
                <w:b w:val="0"/>
                <w:bCs w:val="0"/>
                <w:kern w:val="2"/>
                <w:sz w:val="21"/>
                <w:szCs w:val="21"/>
                <w:lang w:val="en-US" w:eastAsia="zh-CN" w:bidi="ar-SA"/>
              </w:rPr>
              <w:t>中具备</w:t>
            </w:r>
            <w:r>
              <w:rPr>
                <w:rFonts w:hint="eastAsia" w:ascii="宋体" w:hAnsi="宋体" w:eastAsia="宋体" w:cs="宋体"/>
                <w:b w:val="0"/>
                <w:bCs w:val="0"/>
                <w:kern w:val="2"/>
                <w:sz w:val="21"/>
                <w:szCs w:val="21"/>
                <w:lang w:val="zh-CN" w:eastAsia="zh-CN" w:bidi="ar-SA"/>
              </w:rPr>
              <w:t>工作</w:t>
            </w:r>
            <w:r>
              <w:rPr>
                <w:rFonts w:hint="eastAsia" w:ascii="宋体" w:hAnsi="宋体" w:eastAsia="宋体" w:cs="宋体"/>
                <w:b w:val="0"/>
                <w:bCs w:val="0"/>
                <w:kern w:val="2"/>
                <w:sz w:val="21"/>
                <w:szCs w:val="21"/>
                <w:lang w:val="en-US" w:eastAsia="zh-CN" w:bidi="ar-SA"/>
              </w:rPr>
              <w:t>计划</w:t>
            </w:r>
            <w:r>
              <w:rPr>
                <w:rFonts w:hint="eastAsia" w:ascii="宋体" w:hAnsi="宋体" w:eastAsia="宋体" w:cs="宋体"/>
                <w:b w:val="0"/>
                <w:bCs w:val="0"/>
                <w:kern w:val="2"/>
                <w:sz w:val="21"/>
                <w:szCs w:val="21"/>
                <w:lang w:val="zh-CN" w:eastAsia="zh-CN" w:bidi="ar-SA"/>
              </w:rPr>
              <w:t>、</w:t>
            </w:r>
            <w:r>
              <w:rPr>
                <w:rFonts w:hint="eastAsia" w:ascii="宋体" w:hAnsi="宋体" w:eastAsia="宋体" w:cs="宋体"/>
                <w:b w:val="0"/>
                <w:bCs w:val="0"/>
                <w:kern w:val="2"/>
                <w:sz w:val="21"/>
                <w:szCs w:val="21"/>
                <w:lang w:val="en-US" w:eastAsia="zh-CN" w:bidi="ar-SA"/>
              </w:rPr>
              <w:t>实施时间进度表且进度表时间安排响应招标文件要求、</w:t>
            </w:r>
            <w:r>
              <w:rPr>
                <w:rFonts w:hint="eastAsia" w:ascii="宋体" w:hAnsi="宋体" w:eastAsia="宋体" w:cs="宋体"/>
                <w:b w:val="0"/>
                <w:bCs w:val="0"/>
                <w:kern w:val="2"/>
                <w:sz w:val="21"/>
                <w:szCs w:val="21"/>
                <w:lang w:val="zh-CN" w:eastAsia="zh-CN" w:bidi="ar-SA"/>
              </w:rPr>
              <w:t>工作流程</w:t>
            </w:r>
            <w:r>
              <w:rPr>
                <w:rFonts w:hint="eastAsia" w:ascii="宋体" w:hAnsi="宋体" w:eastAsia="宋体" w:cs="宋体"/>
                <w:b w:val="0"/>
                <w:bCs w:val="0"/>
                <w:kern w:val="2"/>
                <w:sz w:val="21"/>
                <w:szCs w:val="21"/>
                <w:lang w:val="en-US" w:eastAsia="zh-CN" w:bidi="ar-SA"/>
              </w:rPr>
              <w:t>及实施步骤、本项目总负责人及主要人员的姓名、职务、详细的地址和联系方式的得4分；方案不全面的得2分；不提供不得分。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9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firstLine="0" w:firstLineChars="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项目实施方案中能体现本次工作任务的难点及特点，明确指出关键性技术问题及相应的解决办法和对策措施的得3分；针对本次工作任务的关键性技术问题及相应的解决办法和对策措施不完善的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firstLine="0" w:firstLineChars="0"/>
              <w:textAlignment w:val="auto"/>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3、根据本项目实际情况提出针对性售后服务方案的得2分；不提供不得分。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firstLine="0" w:firstLineChars="0"/>
              <w:textAlignment w:val="auto"/>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4、售后服务团队：售后人员配备专业性强，岗位清晰，责任到人得2分；未提供满足项目实施所必须的专业人员或岗位及责权混乱的或不提供不得分。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firstLine="0" w:firstLineChars="0"/>
              <w:textAlignment w:val="auto"/>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5、应急保障措施：应急预案科学全面，综合考虑到各种突发状况，可保障人员安全且不影响教学任务得3分；应急预案对突发状况应对措施或人员安全保障措施或教学任务保障措施不完善的得1分；不提供不得分；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108"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line="480" w:lineRule="auto"/>
              <w:ind w:left="0" w:leftChars="0" w:firstLine="0" w:firstLineChars="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6、应急保障措施：投标人提供应急预案电子化管理系统得2分，不提供不得分。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firstLine="0" w:firstLineChars="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7、配套设施：搬运设备及安装调试设备数量及种类满足项目实施所必须的得2分；配备的数量及种类无法完全满足项目实施的得1分；不提供不得分。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firstLine="0" w:firstLineChars="0"/>
              <w:textAlignment w:val="auto"/>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8、其他配套设施：投标人为满足项目实施提出的其他配套设施，配套设施与项目实施紧密相关且是为了满足项目实施所必须的得2分；投标人提出的其他配套设施无法完全满足项目实施或提供与项目实施关联性不紧密的设施的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firstLine="0" w:firstLineChars="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三、技术部分（40分）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firstLine="0" w:firstLineChars="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投标产品技术性能指标35分，任何一项主要需求或性能描述（“★”号项）没有实质性响应招标文件的要求,将导致投标被拒绝；满足招标文件要求的全部技术指标得35分；每有一项一般技术（非“★”号项）需求或性能描述负偏离的减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firstLine="0" w:firstLineChars="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2、投标产品技术性能指标每有一项需求或性能描述正偏离的加1分，加满2分为止，注：正偏离需要提供证明资料（</w:t>
            </w:r>
            <w:bookmarkStart w:id="32" w:name="_GoBack"/>
            <w:bookmarkEnd w:id="32"/>
            <w:r>
              <w:rPr>
                <w:rFonts w:hint="eastAsia" w:ascii="宋体" w:hAnsi="宋体" w:eastAsia="宋体" w:cs="宋体"/>
                <w:b w:val="0"/>
                <w:bCs w:val="0"/>
                <w:kern w:val="2"/>
                <w:sz w:val="21"/>
                <w:szCs w:val="21"/>
                <w:lang w:val="en-US" w:eastAsia="zh-CN" w:bidi="ar-SA"/>
              </w:rPr>
              <w:t>质检报告，为评委认定是否正偏离提供佐证，不提供不得分。）。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ind w:left="0" w:leftChars="0" w:firstLine="0" w:firstLineChars="0"/>
              <w:textAlignment w:val="auto"/>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3、投报的货物有非国家强制性采购的节能产品和国家环境标志产品的每提供一项得1分，否则不得分，最高3分，以提供权威部门颁发的相关证书或查询截图为准，并予以标记。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9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三、价格部分（30分）</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满足招标文件要求且投标价格最低的投标报价为评标基准价，其价格分为满分30分。其他投标人的价格分统一按照下列公式计算：</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投标报价得分=(评标基准价／投标报价)×30%×100 </w:t>
            </w:r>
          </w:p>
        </w:tc>
      </w:tr>
    </w:tbl>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eastAsia="宋体" w:cs="宋体"/>
          <w:b w:val="0"/>
          <w:bCs w:val="0"/>
          <w:kern w:val="2"/>
          <w:sz w:val="21"/>
          <w:szCs w:val="21"/>
          <w:lang w:val="en-US" w:eastAsia="zh-CN" w:bidi="ar-SA"/>
        </w:rPr>
      </w:pP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宋体" w:hAnsi="宋体" w:eastAsia="宋体" w:cs="宋体"/>
          <w:b w:val="0"/>
          <w:bCs w:val="0"/>
          <w:kern w:val="2"/>
          <w:sz w:val="21"/>
          <w:szCs w:val="21"/>
          <w:lang w:val="en-US" w:eastAsia="zh-CN" w:bidi="ar-SA"/>
        </w:rPr>
      </w:pPr>
    </w:p>
    <w:p>
      <w:pPr>
        <w:pageBreakBefore/>
        <w:jc w:val="center"/>
        <w:outlineLvl w:val="0"/>
        <w:rPr>
          <w:rFonts w:ascii="Arial" w:hAnsi="Arial" w:cs="Arial"/>
          <w:b/>
          <w:kern w:val="0"/>
          <w:sz w:val="28"/>
          <w:szCs w:val="28"/>
        </w:rPr>
      </w:pPr>
      <w:bookmarkStart w:id="15" w:name="_Toc352761952"/>
      <w:bookmarkStart w:id="16" w:name="_Toc453"/>
      <w:r>
        <w:rPr>
          <w:rFonts w:hint="eastAsia" w:ascii="Arial" w:hAnsi="Arial" w:cs="Arial"/>
          <w:b/>
          <w:kern w:val="0"/>
          <w:sz w:val="28"/>
          <w:szCs w:val="28"/>
        </w:rPr>
        <w:t>第</w:t>
      </w:r>
      <w:r>
        <w:rPr>
          <w:rFonts w:hint="eastAsia" w:ascii="Arial" w:hAnsi="Arial" w:cs="Arial"/>
          <w:b/>
          <w:kern w:val="0"/>
          <w:sz w:val="28"/>
          <w:szCs w:val="28"/>
          <w:lang w:eastAsia="zh-CN"/>
        </w:rPr>
        <w:t>七</w:t>
      </w:r>
      <w:r>
        <w:rPr>
          <w:rFonts w:hint="eastAsia" w:ascii="Arial" w:hAnsi="Arial" w:cs="Arial"/>
          <w:b/>
          <w:kern w:val="0"/>
          <w:sz w:val="28"/>
          <w:szCs w:val="28"/>
        </w:rPr>
        <w:t>部分合同原则</w:t>
      </w:r>
      <w:bookmarkEnd w:id="15"/>
      <w:bookmarkEnd w:id="16"/>
    </w:p>
    <w:p>
      <w:pPr>
        <w:ind w:firstLine="5886" w:firstLineChars="2800"/>
        <w:rPr>
          <w:rFonts w:ascii="华文中宋" w:hAnsi="华文中宋" w:eastAsia="华文中宋" w:cs="华文中宋"/>
          <w:b/>
          <w:bCs/>
          <w:color w:val="000000"/>
        </w:rPr>
      </w:pPr>
      <w:r>
        <w:rPr>
          <w:rFonts w:hint="eastAsia" w:ascii="华文中宋" w:hAnsi="华文中宋" w:eastAsia="华文中宋" w:cs="华文中宋"/>
          <w:b/>
          <w:bCs/>
          <w:color w:val="000000"/>
        </w:rPr>
        <w:t>合同编号：</w:t>
      </w:r>
    </w:p>
    <w:p>
      <w:pPr>
        <w:pStyle w:val="127"/>
        <w:spacing w:line="440" w:lineRule="exac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甲方(采购人)： </w:t>
      </w:r>
    </w:p>
    <w:p>
      <w:pPr>
        <w:pStyle w:val="127"/>
        <w:spacing w:line="440" w:lineRule="exac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乙方(成交人)： </w:t>
      </w:r>
    </w:p>
    <w:p>
      <w:pPr>
        <w:pStyle w:val="127"/>
        <w:spacing w:line="440" w:lineRule="exac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    根据《中华人民共和国政府采购法》、《政府采购货物和服务招标投标管理办法》、《中华人民共和国民法典》等相关法律法规以及本项目采购文件的规定，甲乙双方本着平等互利的原则，经过友好协商,达成如下合同条款。</w:t>
      </w:r>
    </w:p>
    <w:p>
      <w:pPr>
        <w:pStyle w:val="127"/>
        <w:spacing w:line="44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一、合同标的</w:t>
      </w:r>
    </w:p>
    <w:p>
      <w:pPr>
        <w:pStyle w:val="127"/>
        <w:spacing w:line="44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项目内容： </w:t>
      </w:r>
    </w:p>
    <w:p>
      <w:pPr>
        <w:pStyle w:val="127"/>
        <w:spacing w:line="44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客户名称： </w:t>
      </w:r>
    </w:p>
    <w:p>
      <w:pPr>
        <w:pStyle w:val="127"/>
        <w:spacing w:line="44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二、合同价格及支付方式</w:t>
      </w:r>
    </w:p>
    <w:p>
      <w:pPr>
        <w:pStyle w:val="127"/>
        <w:spacing w:line="44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1、合同总金额为人民币          元整（大写：              元）。</w:t>
      </w:r>
    </w:p>
    <w:p>
      <w:pPr>
        <w:pStyle w:val="127"/>
        <w:spacing w:line="44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本合同价格为完成本项目所需的全部费用，货物验收合格后，由甲方负责办理货款支付手续；货物验收合格后支付合同总价款的 ，剩余    的质保金在质保期满后支付。</w:t>
      </w:r>
    </w:p>
    <w:p>
      <w:pPr>
        <w:pStyle w:val="127"/>
        <w:spacing w:line="44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2、乙方收款账号： </w:t>
      </w:r>
    </w:p>
    <w:p>
      <w:pPr>
        <w:pStyle w:val="127"/>
        <w:spacing w:line="440" w:lineRule="exac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    户  名： </w:t>
      </w:r>
    </w:p>
    <w:p>
      <w:pPr>
        <w:pStyle w:val="127"/>
        <w:spacing w:line="440" w:lineRule="exac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    账  号：</w:t>
      </w:r>
    </w:p>
    <w:p>
      <w:pPr>
        <w:pStyle w:val="127"/>
        <w:spacing w:line="440" w:lineRule="exact"/>
        <w:ind w:firstLine="51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开户行： </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三、交货及验收</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1、乙方交货期限为合同签订生效后的      日内； </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验收工作由甲方组织，乙方配合进行。如质量验收合格，双方签署质量验收报告。如货物存在瑕疵，甲方有权要求乙方限期更换或维修，如仍不能到达合同约定的质量标准，甲方有权退货，并追究乙方的违约责任。</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四、甲方的责任和义务</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1、及时办理付款手续。</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2、协助乙方办理有关事宜。</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3、及时组织货物验收工作。</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4、对合同条款及价格负有保密义务。</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5、签订合同后由甲方向有关部门备案。</w:t>
      </w:r>
    </w:p>
    <w:p>
      <w:pPr>
        <w:pStyle w:val="203"/>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6、法规、政策规定由甲方承担的其他责任和义务。</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五、乙方的责任和义务</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1、保证所供设备均为标书承诺设备，符合相关质量检测标准，具有该产品的出厂标准或国家鉴定证书。</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2、保证设备的售后服务，严格依据投标文件及相关承诺，对设备及系统进行保修、维护等服务。质保期为验收合格后   年，乙方需指派专人负责与甲方联系售后服务事宜。</w:t>
      </w:r>
    </w:p>
    <w:p>
      <w:pPr>
        <w:pStyle w:val="203"/>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3、法规、政策规定由乙方承担的其他责任和义务。</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六、违约责任</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1、除因不可抗力，如自然灾害，重大灾难或政府法令的原因以外，双方不得违反合同，如有一方违约，另一方可要求赔偿损失，违约方还需向守约方支付合同款总额2%的违约金。</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2、甲方无正当理由拒收货物的，应当向乙方支付合同款总额2%的违约金。</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3、甲方需按合同付款方式，按期付至乙方指定银行账户，如超过合同规定的付款日期款项未到账，乙方则向甲方收取按每逾期1日总费用1%的违约金；并承担由于资金不能及时到位而引起的一切经济责任。</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乙方如不能按期交付货物，甲方则向乙方收取按每逾期1日总费用1%的违约金；乙方交付的货物如不符合合同约定，甲方有权要求乙方限期更换，规定时间内不能提供合格货物的，应当向甲方支付合同款总额2%的违约金。</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5、甲乙双方需按本协议的各项条款履行义务，若其中一方违反本协议的规定的内容，应对相关事宜负责，对违约所造成的后果负责，并负相关法律责任，且承担由此而造成的经济损失。</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6、如果甲、乙双方任意一方不能够遵守和执行本合同条款，守约方保留终止合同的权利，违约方还应赔偿给另外一方因为不能执行合同而带来的损失。</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7、由于甲方付款延误造成乙方制作工期延迟，由此产生的一切经济（法律）责任，均与乙方无关。</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七、不可抗力因素</w:t>
      </w:r>
    </w:p>
    <w:p>
      <w:pPr>
        <w:pStyle w:val="127"/>
        <w:spacing w:line="44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在合同规定的履行期限内，由于不可抗力（是指自然灾害、战争等）致使定做物品或原材料损毁、灭失的，乙方可免予承担违约责任，但应当采取积极措施，尽量减少损失，如在合同规定的履行期以外发生的，乙方不承担任何责任。</w:t>
      </w:r>
    </w:p>
    <w:p>
      <w:pPr>
        <w:pStyle w:val="127"/>
        <w:spacing w:line="440" w:lineRule="exact"/>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甲乙任何一方，如因不可抗力造成合同无法执行，应提前通知对方以减轻对方的损失，同时，双方自动解除合同关系，对于甲方已支付未履行部分的合同价款，乙方应全额退还甲方。（原第五条第1点）</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八、合同的生效</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本合同经双方法定代表人（负责人）或授权代表签字并加盖单位公章后生效。</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九、其  它</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本合同未尽事宜，按照本采购文件的有关规定、成交人的投标文件及其澄清、说明或者补正文件执行。双方也可在不违背合同和招标文件的前提下协商解决。协商结果以“纪要”形式作为合同附件，与合同具有同等效力。</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2、在合同的执行过程中如发生纠纷，经双方协商无效，将依照有关法律条款向有管辖权的人民法院提起诉讼。</w:t>
      </w: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3、本合同一式六份，甲方二份，乙方一份，两份分别到财政部门和有关部门备案，集中采购机构存档一份。</w:t>
      </w:r>
    </w:p>
    <w:p>
      <w:pPr>
        <w:pStyle w:val="127"/>
        <w:spacing w:line="440" w:lineRule="exact"/>
        <w:rPr>
          <w:rFonts w:hint="eastAsia" w:ascii="宋体" w:hAnsi="宋体" w:eastAsia="宋体" w:cs="宋体"/>
          <w:kern w:val="0"/>
          <w:sz w:val="21"/>
          <w:szCs w:val="21"/>
          <w:lang w:val="en-US" w:eastAsia="zh-CN" w:bidi="ar-SA"/>
        </w:rPr>
      </w:pPr>
    </w:p>
    <w:p>
      <w:pPr>
        <w:pStyle w:val="127"/>
        <w:spacing w:line="440" w:lineRule="exact"/>
        <w:ind w:firstLine="315" w:firstLineChars="15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附件：1、成交人报价清单；</w:t>
      </w:r>
    </w:p>
    <w:p>
      <w:pPr>
        <w:pStyle w:val="127"/>
        <w:spacing w:line="440" w:lineRule="exact"/>
        <w:rPr>
          <w:rFonts w:hint="eastAsia" w:ascii="宋体" w:hAnsi="宋体" w:eastAsia="宋体" w:cs="宋体"/>
          <w:kern w:val="0"/>
          <w:sz w:val="21"/>
          <w:szCs w:val="21"/>
          <w:lang w:val="en-US" w:eastAsia="zh-CN" w:bidi="ar-SA"/>
        </w:rPr>
      </w:pPr>
    </w:p>
    <w:p>
      <w:pPr>
        <w:pStyle w:val="127"/>
        <w:spacing w:line="440" w:lineRule="exact"/>
        <w:rPr>
          <w:rFonts w:hint="eastAsia" w:ascii="宋体" w:hAnsi="宋体" w:eastAsia="宋体" w:cs="宋体"/>
          <w:kern w:val="0"/>
          <w:sz w:val="21"/>
          <w:szCs w:val="21"/>
          <w:lang w:val="en-US" w:eastAsia="zh-CN" w:bidi="ar-SA"/>
        </w:rPr>
      </w:pPr>
    </w:p>
    <w:p>
      <w:pPr>
        <w:pStyle w:val="127"/>
        <w:spacing w:line="440" w:lineRule="exac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甲方（采购人）：                            乙方（成交人）：</w:t>
      </w:r>
    </w:p>
    <w:p>
      <w:pPr>
        <w:pStyle w:val="127"/>
        <w:spacing w:line="440" w:lineRule="exac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（公章）                                  （公章）</w:t>
      </w:r>
    </w:p>
    <w:p>
      <w:pPr>
        <w:pStyle w:val="127"/>
        <w:spacing w:line="440" w:lineRule="exac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法定代表或授权代表：                       法定代表或授权代表：</w:t>
      </w:r>
    </w:p>
    <w:p>
      <w:pPr>
        <w:pStyle w:val="127"/>
        <w:spacing w:line="440" w:lineRule="exac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签订时间：20  年  月    日                 签订时间：20   年  月    日</w:t>
      </w: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pStyle w:val="26"/>
        <w:ind w:left="31680" w:firstLine="31680"/>
      </w:pPr>
    </w:p>
    <w:p>
      <w:pPr>
        <w:spacing w:line="600" w:lineRule="exact"/>
      </w:pPr>
      <w:r>
        <w:rPr>
          <w:rFonts w:hint="eastAsia"/>
        </w:rPr>
        <w:t>项目验收报告格式（一式四份）：</w:t>
      </w:r>
    </w:p>
    <w:p>
      <w:pPr>
        <w:jc w:val="center"/>
        <w:rPr>
          <w:b/>
          <w:sz w:val="28"/>
          <w:szCs w:val="28"/>
        </w:rPr>
      </w:pPr>
      <w:r>
        <w:rPr>
          <w:rFonts w:hint="eastAsia"/>
          <w:b/>
          <w:sz w:val="28"/>
          <w:szCs w:val="28"/>
        </w:rPr>
        <w:t>阳泉市政府采购项目验收单（货物）</w:t>
      </w:r>
    </w:p>
    <w:p>
      <w:pPr>
        <w:ind w:right="420" w:firstLine="7455" w:firstLineChars="3550"/>
      </w:pPr>
      <w:r>
        <w:rPr>
          <w:rFonts w:hint="eastAsia"/>
        </w:rPr>
        <w:t>填报时间：</w:t>
      </w:r>
    </w:p>
    <w:tbl>
      <w:tblPr>
        <w:tblStyle w:val="59"/>
        <w:tblW w:w="9872" w:type="dxa"/>
        <w:jc w:val="center"/>
        <w:tblLayout w:type="fixed"/>
        <w:tblCellMar>
          <w:top w:w="0" w:type="dxa"/>
          <w:left w:w="108" w:type="dxa"/>
          <w:bottom w:w="0" w:type="dxa"/>
          <w:right w:w="108" w:type="dxa"/>
        </w:tblCellMar>
      </w:tblPr>
      <w:tblGrid>
        <w:gridCol w:w="1058"/>
        <w:gridCol w:w="724"/>
        <w:gridCol w:w="533"/>
        <w:gridCol w:w="493"/>
        <w:gridCol w:w="744"/>
        <w:gridCol w:w="532"/>
        <w:gridCol w:w="174"/>
        <w:gridCol w:w="757"/>
        <w:gridCol w:w="674"/>
        <w:gridCol w:w="216"/>
        <w:gridCol w:w="33"/>
        <w:gridCol w:w="291"/>
        <w:gridCol w:w="511"/>
        <w:gridCol w:w="460"/>
        <w:gridCol w:w="538"/>
        <w:gridCol w:w="182"/>
        <w:gridCol w:w="214"/>
        <w:gridCol w:w="136"/>
        <w:gridCol w:w="290"/>
        <w:gridCol w:w="1312"/>
      </w:tblGrid>
      <w:tr>
        <w:tblPrEx>
          <w:tblCellMar>
            <w:top w:w="0" w:type="dxa"/>
            <w:left w:w="108" w:type="dxa"/>
            <w:bottom w:w="0" w:type="dxa"/>
            <w:right w:w="108" w:type="dxa"/>
          </w:tblCellMar>
        </w:tblPrEx>
        <w:trPr>
          <w:trHeight w:val="340" w:hRule="atLeast"/>
          <w:jc w:val="center"/>
        </w:trPr>
        <w:tc>
          <w:tcPr>
            <w:tcW w:w="1782"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采购人</w:t>
            </w:r>
          </w:p>
        </w:tc>
        <w:tc>
          <w:tcPr>
            <w:tcW w:w="2476"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2482"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采购项目名称</w:t>
            </w:r>
          </w:p>
        </w:tc>
        <w:tc>
          <w:tcPr>
            <w:tcW w:w="3132" w:type="dxa"/>
            <w:gridSpan w:val="7"/>
            <w:tcBorders>
              <w:top w:val="single" w:color="auto" w:sz="4" w:space="0"/>
              <w:left w:val="single" w:color="auto" w:sz="4" w:space="0"/>
              <w:bottom w:val="single" w:color="auto" w:sz="4" w:space="0"/>
              <w:right w:val="single" w:color="000000" w:sz="4" w:space="0"/>
            </w:tcBorders>
            <w:vAlign w:val="center"/>
          </w:tcPr>
          <w:p>
            <w:pPr>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40" w:hRule="atLeast"/>
          <w:jc w:val="center"/>
        </w:trPr>
        <w:tc>
          <w:tcPr>
            <w:tcW w:w="1782"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采购代理机构</w:t>
            </w:r>
          </w:p>
        </w:tc>
        <w:tc>
          <w:tcPr>
            <w:tcW w:w="2476"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680"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合同编号</w:t>
            </w:r>
          </w:p>
        </w:tc>
        <w:tc>
          <w:tcPr>
            <w:tcW w:w="1800" w:type="dxa"/>
            <w:gridSpan w:val="4"/>
            <w:tcBorders>
              <w:top w:val="nil"/>
              <w:left w:val="nil"/>
              <w:bottom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　</w:t>
            </w:r>
          </w:p>
        </w:tc>
        <w:tc>
          <w:tcPr>
            <w:tcW w:w="822"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合同金额</w:t>
            </w:r>
          </w:p>
        </w:tc>
        <w:tc>
          <w:tcPr>
            <w:tcW w:w="131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40" w:hRule="atLeast"/>
          <w:jc w:val="center"/>
        </w:trPr>
        <w:tc>
          <w:tcPr>
            <w:tcW w:w="1782"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中标供应商</w:t>
            </w:r>
          </w:p>
        </w:tc>
        <w:tc>
          <w:tcPr>
            <w:tcW w:w="2476"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2482"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中标供应商开户银行</w:t>
            </w:r>
          </w:p>
        </w:tc>
        <w:tc>
          <w:tcPr>
            <w:tcW w:w="3132" w:type="dxa"/>
            <w:gridSpan w:val="7"/>
            <w:tcBorders>
              <w:top w:val="single" w:color="auto" w:sz="4" w:space="0"/>
              <w:left w:val="single" w:color="auto" w:sz="4" w:space="0"/>
              <w:bottom w:val="single" w:color="auto" w:sz="4" w:space="0"/>
              <w:right w:val="single" w:color="000000" w:sz="4" w:space="0"/>
            </w:tcBorders>
            <w:vAlign w:val="center"/>
          </w:tcPr>
          <w:p>
            <w:pPr>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40" w:hRule="atLeast"/>
          <w:jc w:val="center"/>
        </w:trPr>
        <w:tc>
          <w:tcPr>
            <w:tcW w:w="1782"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中标供应商账号</w:t>
            </w:r>
          </w:p>
        </w:tc>
        <w:tc>
          <w:tcPr>
            <w:tcW w:w="2476"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2482"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中标供应商电话</w:t>
            </w:r>
          </w:p>
        </w:tc>
        <w:tc>
          <w:tcPr>
            <w:tcW w:w="3132" w:type="dxa"/>
            <w:gridSpan w:val="7"/>
            <w:tcBorders>
              <w:top w:val="single" w:color="auto" w:sz="4" w:space="0"/>
              <w:left w:val="single" w:color="auto" w:sz="4" w:space="0"/>
              <w:bottom w:val="single" w:color="auto" w:sz="4" w:space="0"/>
              <w:right w:val="single" w:color="000000" w:sz="4" w:space="0"/>
            </w:tcBorders>
            <w:vAlign w:val="center"/>
          </w:tcPr>
          <w:p>
            <w:pPr>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40" w:hRule="atLeast"/>
          <w:jc w:val="center"/>
        </w:trPr>
        <w:tc>
          <w:tcPr>
            <w:tcW w:w="17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付款方式</w:t>
            </w:r>
          </w:p>
        </w:tc>
        <w:tc>
          <w:tcPr>
            <w:tcW w:w="4447" w:type="dxa"/>
            <w:gridSpan w:val="10"/>
            <w:tcBorders>
              <w:top w:val="single" w:color="auto" w:sz="4" w:space="0"/>
              <w:left w:val="nil"/>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3643" w:type="dxa"/>
            <w:gridSpan w:val="8"/>
            <w:tcBorders>
              <w:top w:val="single" w:color="auto" w:sz="4" w:space="0"/>
              <w:left w:val="nil"/>
              <w:bottom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本次付款为第__</w:t>
            </w:r>
            <w:r>
              <w:rPr>
                <w:rFonts w:hint="eastAsia" w:ascii="宋体" w:hAnsi="宋体" w:cs="宋体"/>
                <w:kern w:val="0"/>
                <w:szCs w:val="21"/>
                <w:u w:val="single"/>
              </w:rPr>
              <w:t>__  _</w:t>
            </w:r>
            <w:r>
              <w:rPr>
                <w:rFonts w:hint="eastAsia" w:ascii="宋体" w:hAnsi="宋体" w:cs="宋体"/>
                <w:kern w:val="0"/>
                <w:szCs w:val="21"/>
              </w:rPr>
              <w:t>_次付款</w:t>
            </w:r>
          </w:p>
        </w:tc>
      </w:tr>
      <w:tr>
        <w:tblPrEx>
          <w:tblCellMar>
            <w:top w:w="0" w:type="dxa"/>
            <w:left w:w="108" w:type="dxa"/>
            <w:bottom w:w="0" w:type="dxa"/>
            <w:right w:w="108" w:type="dxa"/>
          </w:tblCellMar>
        </w:tblPrEx>
        <w:trPr>
          <w:trHeight w:val="340" w:hRule="atLeast"/>
          <w:jc w:val="center"/>
        </w:trPr>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发票金额</w:t>
            </w:r>
          </w:p>
        </w:tc>
        <w:tc>
          <w:tcPr>
            <w:tcW w:w="1257" w:type="dxa"/>
            <w:gridSpan w:val="2"/>
            <w:tcBorders>
              <w:top w:val="nil"/>
              <w:left w:val="nil"/>
              <w:bottom w:val="single" w:color="auto" w:sz="4" w:space="0"/>
              <w:right w:val="single" w:color="auto" w:sz="4" w:space="0"/>
            </w:tcBorders>
            <w:vAlign w:val="center"/>
          </w:tcPr>
          <w:p>
            <w:pPr>
              <w:widowControl/>
              <w:jc w:val="center"/>
              <w:rPr>
                <w:rFonts w:ascii="宋体" w:cs="宋体"/>
                <w:kern w:val="0"/>
                <w:szCs w:val="21"/>
              </w:rPr>
            </w:pPr>
          </w:p>
        </w:tc>
        <w:tc>
          <w:tcPr>
            <w:tcW w:w="1237" w:type="dxa"/>
            <w:gridSpan w:val="2"/>
            <w:tcBorders>
              <w:top w:val="single" w:color="auto" w:sz="4" w:space="0"/>
              <w:left w:val="nil"/>
              <w:bottom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已付金额</w:t>
            </w:r>
          </w:p>
        </w:tc>
        <w:tc>
          <w:tcPr>
            <w:tcW w:w="1463"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p>
        </w:tc>
        <w:tc>
          <w:tcPr>
            <w:tcW w:w="1214" w:type="dxa"/>
            <w:gridSpan w:val="4"/>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本次应付</w:t>
            </w:r>
          </w:p>
        </w:tc>
        <w:tc>
          <w:tcPr>
            <w:tcW w:w="971"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余额</w:t>
            </w:r>
          </w:p>
        </w:tc>
        <w:tc>
          <w:tcPr>
            <w:tcW w:w="1952"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40" w:hRule="atLeast"/>
          <w:jc w:val="center"/>
        </w:trPr>
        <w:tc>
          <w:tcPr>
            <w:tcW w:w="1058" w:type="dxa"/>
            <w:vMerge w:val="restart"/>
            <w:tcBorders>
              <w:top w:val="single" w:color="auto" w:sz="4" w:space="0"/>
              <w:left w:val="single" w:color="auto" w:sz="4" w:space="0"/>
              <w:bottom w:val="single" w:color="000000" w:sz="4" w:space="0"/>
              <w:right w:val="single" w:color="auto" w:sz="4" w:space="0"/>
            </w:tcBorders>
            <w:textDirection w:val="tbRlV"/>
            <w:vAlign w:val="center"/>
          </w:tcPr>
          <w:p>
            <w:pPr>
              <w:jc w:val="center"/>
              <w:rPr>
                <w:rFonts w:ascii="宋体" w:cs="宋体"/>
                <w:kern w:val="0"/>
                <w:szCs w:val="21"/>
              </w:rPr>
            </w:pPr>
            <w:r>
              <w:rPr>
                <w:rFonts w:hint="eastAsia" w:ascii="宋体" w:hAnsi="宋体" w:cs="宋体"/>
                <w:kern w:val="0"/>
                <w:szCs w:val="21"/>
              </w:rPr>
              <w:t>验 收 清 单</w:t>
            </w:r>
          </w:p>
        </w:tc>
        <w:tc>
          <w:tcPr>
            <w:tcW w:w="724"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序号</w:t>
            </w:r>
          </w:p>
        </w:tc>
        <w:tc>
          <w:tcPr>
            <w:tcW w:w="3907"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服务项目名称</w:t>
            </w:r>
          </w:p>
        </w:tc>
        <w:tc>
          <w:tcPr>
            <w:tcW w:w="1051"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数量</w:t>
            </w:r>
          </w:p>
        </w:tc>
        <w:tc>
          <w:tcPr>
            <w:tcW w:w="1530" w:type="dxa"/>
            <w:gridSpan w:val="5"/>
            <w:tcBorders>
              <w:top w:val="nil"/>
              <w:left w:val="nil"/>
              <w:bottom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单价</w:t>
            </w:r>
          </w:p>
        </w:tc>
        <w:tc>
          <w:tcPr>
            <w:tcW w:w="1602" w:type="dxa"/>
            <w:gridSpan w:val="2"/>
            <w:tcBorders>
              <w:top w:val="nil"/>
              <w:left w:val="nil"/>
              <w:bottom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金额</w:t>
            </w:r>
          </w:p>
        </w:tc>
      </w:tr>
      <w:tr>
        <w:tblPrEx>
          <w:tblCellMar>
            <w:top w:w="0" w:type="dxa"/>
            <w:left w:w="108" w:type="dxa"/>
            <w:bottom w:w="0" w:type="dxa"/>
            <w:right w:w="108" w:type="dxa"/>
          </w:tblCellMar>
        </w:tblPrEx>
        <w:trPr>
          <w:trHeight w:val="340" w:hRule="atLeast"/>
          <w:jc w:val="center"/>
        </w:trPr>
        <w:tc>
          <w:tcPr>
            <w:tcW w:w="10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724"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1</w:t>
            </w:r>
          </w:p>
        </w:tc>
        <w:tc>
          <w:tcPr>
            <w:tcW w:w="3907"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051"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530" w:type="dxa"/>
            <w:gridSpan w:val="5"/>
            <w:tcBorders>
              <w:top w:val="nil"/>
              <w:left w:val="nil"/>
              <w:bottom w:val="single" w:color="auto" w:sz="4" w:space="0"/>
              <w:right w:val="single" w:color="auto" w:sz="4" w:space="0"/>
            </w:tcBorders>
            <w:vAlign w:val="center"/>
          </w:tcPr>
          <w:p>
            <w:pPr>
              <w:jc w:val="center"/>
              <w:rPr>
                <w:rFonts w:ascii="宋体" w:cs="宋体"/>
                <w:kern w:val="0"/>
                <w:szCs w:val="21"/>
              </w:rPr>
            </w:pPr>
          </w:p>
        </w:tc>
        <w:tc>
          <w:tcPr>
            <w:tcW w:w="1602" w:type="dxa"/>
            <w:gridSpan w:val="2"/>
            <w:tcBorders>
              <w:top w:val="nil"/>
              <w:left w:val="nil"/>
              <w:bottom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40" w:hRule="atLeast"/>
          <w:jc w:val="center"/>
        </w:trPr>
        <w:tc>
          <w:tcPr>
            <w:tcW w:w="10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724"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2</w:t>
            </w:r>
          </w:p>
        </w:tc>
        <w:tc>
          <w:tcPr>
            <w:tcW w:w="3907"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051"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530" w:type="dxa"/>
            <w:gridSpan w:val="5"/>
            <w:tcBorders>
              <w:top w:val="nil"/>
              <w:left w:val="nil"/>
              <w:bottom w:val="single" w:color="auto" w:sz="4" w:space="0"/>
              <w:right w:val="single" w:color="auto" w:sz="4" w:space="0"/>
            </w:tcBorders>
            <w:vAlign w:val="center"/>
          </w:tcPr>
          <w:p>
            <w:pPr>
              <w:jc w:val="center"/>
              <w:rPr>
                <w:rFonts w:ascii="宋体" w:cs="宋体"/>
                <w:kern w:val="0"/>
                <w:szCs w:val="21"/>
              </w:rPr>
            </w:pPr>
          </w:p>
        </w:tc>
        <w:tc>
          <w:tcPr>
            <w:tcW w:w="1602" w:type="dxa"/>
            <w:gridSpan w:val="2"/>
            <w:tcBorders>
              <w:top w:val="nil"/>
              <w:left w:val="nil"/>
              <w:bottom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40" w:hRule="atLeast"/>
          <w:jc w:val="center"/>
        </w:trPr>
        <w:tc>
          <w:tcPr>
            <w:tcW w:w="10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724"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3</w:t>
            </w:r>
          </w:p>
        </w:tc>
        <w:tc>
          <w:tcPr>
            <w:tcW w:w="3907"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051"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530" w:type="dxa"/>
            <w:gridSpan w:val="5"/>
            <w:tcBorders>
              <w:top w:val="nil"/>
              <w:left w:val="nil"/>
              <w:bottom w:val="single" w:color="auto" w:sz="4" w:space="0"/>
              <w:right w:val="single" w:color="auto" w:sz="4" w:space="0"/>
            </w:tcBorders>
            <w:vAlign w:val="center"/>
          </w:tcPr>
          <w:p>
            <w:pPr>
              <w:jc w:val="center"/>
              <w:rPr>
                <w:rFonts w:ascii="宋体" w:cs="宋体"/>
                <w:kern w:val="0"/>
                <w:szCs w:val="21"/>
              </w:rPr>
            </w:pPr>
          </w:p>
        </w:tc>
        <w:tc>
          <w:tcPr>
            <w:tcW w:w="1602" w:type="dxa"/>
            <w:gridSpan w:val="2"/>
            <w:tcBorders>
              <w:top w:val="nil"/>
              <w:left w:val="nil"/>
              <w:bottom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40" w:hRule="atLeast"/>
          <w:jc w:val="center"/>
        </w:trPr>
        <w:tc>
          <w:tcPr>
            <w:tcW w:w="10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724"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4</w:t>
            </w:r>
          </w:p>
        </w:tc>
        <w:tc>
          <w:tcPr>
            <w:tcW w:w="3907"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051"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530" w:type="dxa"/>
            <w:gridSpan w:val="5"/>
            <w:tcBorders>
              <w:top w:val="nil"/>
              <w:left w:val="nil"/>
              <w:bottom w:val="single" w:color="auto" w:sz="4" w:space="0"/>
              <w:right w:val="single" w:color="auto" w:sz="4" w:space="0"/>
            </w:tcBorders>
            <w:vAlign w:val="center"/>
          </w:tcPr>
          <w:p>
            <w:pPr>
              <w:jc w:val="center"/>
              <w:rPr>
                <w:rFonts w:ascii="宋体" w:cs="宋体"/>
                <w:kern w:val="0"/>
                <w:szCs w:val="21"/>
              </w:rPr>
            </w:pPr>
          </w:p>
        </w:tc>
        <w:tc>
          <w:tcPr>
            <w:tcW w:w="1602" w:type="dxa"/>
            <w:gridSpan w:val="2"/>
            <w:tcBorders>
              <w:top w:val="nil"/>
              <w:left w:val="nil"/>
              <w:bottom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40" w:hRule="atLeast"/>
          <w:jc w:val="center"/>
        </w:trPr>
        <w:tc>
          <w:tcPr>
            <w:tcW w:w="10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724"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5</w:t>
            </w:r>
          </w:p>
        </w:tc>
        <w:tc>
          <w:tcPr>
            <w:tcW w:w="3907"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051"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530" w:type="dxa"/>
            <w:gridSpan w:val="5"/>
            <w:tcBorders>
              <w:top w:val="nil"/>
              <w:left w:val="nil"/>
              <w:bottom w:val="single" w:color="auto" w:sz="4" w:space="0"/>
              <w:right w:val="single" w:color="auto" w:sz="4" w:space="0"/>
            </w:tcBorders>
            <w:vAlign w:val="center"/>
          </w:tcPr>
          <w:p>
            <w:pPr>
              <w:jc w:val="center"/>
              <w:rPr>
                <w:rFonts w:ascii="宋体" w:cs="宋体"/>
                <w:kern w:val="0"/>
                <w:szCs w:val="21"/>
              </w:rPr>
            </w:pPr>
          </w:p>
        </w:tc>
        <w:tc>
          <w:tcPr>
            <w:tcW w:w="1602" w:type="dxa"/>
            <w:gridSpan w:val="2"/>
            <w:tcBorders>
              <w:top w:val="nil"/>
              <w:left w:val="nil"/>
              <w:bottom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40" w:hRule="atLeast"/>
          <w:jc w:val="center"/>
        </w:trPr>
        <w:tc>
          <w:tcPr>
            <w:tcW w:w="10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724"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6</w:t>
            </w:r>
          </w:p>
        </w:tc>
        <w:tc>
          <w:tcPr>
            <w:tcW w:w="3907"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051"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530" w:type="dxa"/>
            <w:gridSpan w:val="5"/>
            <w:tcBorders>
              <w:top w:val="nil"/>
              <w:left w:val="nil"/>
              <w:bottom w:val="single" w:color="auto" w:sz="4" w:space="0"/>
              <w:right w:val="single" w:color="auto" w:sz="4" w:space="0"/>
            </w:tcBorders>
            <w:vAlign w:val="center"/>
          </w:tcPr>
          <w:p>
            <w:pPr>
              <w:jc w:val="center"/>
              <w:rPr>
                <w:rFonts w:ascii="宋体" w:cs="宋体"/>
                <w:kern w:val="0"/>
                <w:szCs w:val="21"/>
              </w:rPr>
            </w:pPr>
          </w:p>
        </w:tc>
        <w:tc>
          <w:tcPr>
            <w:tcW w:w="1602" w:type="dxa"/>
            <w:gridSpan w:val="2"/>
            <w:tcBorders>
              <w:top w:val="nil"/>
              <w:left w:val="nil"/>
              <w:bottom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40" w:hRule="atLeast"/>
          <w:jc w:val="center"/>
        </w:trPr>
        <w:tc>
          <w:tcPr>
            <w:tcW w:w="10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724"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7</w:t>
            </w:r>
          </w:p>
        </w:tc>
        <w:tc>
          <w:tcPr>
            <w:tcW w:w="3907"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051"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530" w:type="dxa"/>
            <w:gridSpan w:val="5"/>
            <w:tcBorders>
              <w:top w:val="nil"/>
              <w:left w:val="nil"/>
              <w:bottom w:val="single" w:color="auto" w:sz="4" w:space="0"/>
              <w:right w:val="single" w:color="auto" w:sz="4" w:space="0"/>
            </w:tcBorders>
            <w:vAlign w:val="center"/>
          </w:tcPr>
          <w:p>
            <w:pPr>
              <w:jc w:val="center"/>
              <w:rPr>
                <w:rFonts w:ascii="宋体" w:cs="宋体"/>
                <w:kern w:val="0"/>
                <w:szCs w:val="21"/>
              </w:rPr>
            </w:pPr>
          </w:p>
        </w:tc>
        <w:tc>
          <w:tcPr>
            <w:tcW w:w="1602" w:type="dxa"/>
            <w:gridSpan w:val="2"/>
            <w:tcBorders>
              <w:top w:val="nil"/>
              <w:left w:val="nil"/>
              <w:bottom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40" w:hRule="atLeast"/>
          <w:jc w:val="center"/>
        </w:trPr>
        <w:tc>
          <w:tcPr>
            <w:tcW w:w="10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724"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8</w:t>
            </w:r>
          </w:p>
        </w:tc>
        <w:tc>
          <w:tcPr>
            <w:tcW w:w="3907"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051"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530" w:type="dxa"/>
            <w:gridSpan w:val="5"/>
            <w:tcBorders>
              <w:top w:val="nil"/>
              <w:left w:val="nil"/>
              <w:bottom w:val="single" w:color="auto" w:sz="4" w:space="0"/>
              <w:right w:val="single" w:color="auto" w:sz="4" w:space="0"/>
            </w:tcBorders>
            <w:vAlign w:val="center"/>
          </w:tcPr>
          <w:p>
            <w:pPr>
              <w:jc w:val="center"/>
              <w:rPr>
                <w:rFonts w:ascii="宋体" w:cs="宋体"/>
                <w:kern w:val="0"/>
                <w:szCs w:val="21"/>
              </w:rPr>
            </w:pPr>
          </w:p>
        </w:tc>
        <w:tc>
          <w:tcPr>
            <w:tcW w:w="1602" w:type="dxa"/>
            <w:gridSpan w:val="2"/>
            <w:tcBorders>
              <w:top w:val="nil"/>
              <w:left w:val="nil"/>
              <w:bottom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40" w:hRule="atLeast"/>
          <w:jc w:val="center"/>
        </w:trPr>
        <w:tc>
          <w:tcPr>
            <w:tcW w:w="10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724"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9</w:t>
            </w:r>
          </w:p>
        </w:tc>
        <w:tc>
          <w:tcPr>
            <w:tcW w:w="3907"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051"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530" w:type="dxa"/>
            <w:gridSpan w:val="5"/>
            <w:tcBorders>
              <w:top w:val="nil"/>
              <w:left w:val="nil"/>
              <w:bottom w:val="single" w:color="auto" w:sz="4" w:space="0"/>
              <w:right w:val="single" w:color="auto" w:sz="4" w:space="0"/>
            </w:tcBorders>
            <w:vAlign w:val="center"/>
          </w:tcPr>
          <w:p>
            <w:pPr>
              <w:jc w:val="center"/>
              <w:rPr>
                <w:rFonts w:ascii="宋体" w:cs="宋体"/>
                <w:kern w:val="0"/>
                <w:szCs w:val="21"/>
              </w:rPr>
            </w:pPr>
          </w:p>
        </w:tc>
        <w:tc>
          <w:tcPr>
            <w:tcW w:w="1602" w:type="dxa"/>
            <w:gridSpan w:val="2"/>
            <w:tcBorders>
              <w:top w:val="nil"/>
              <w:left w:val="nil"/>
              <w:bottom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40" w:hRule="atLeast"/>
          <w:jc w:val="center"/>
        </w:trPr>
        <w:tc>
          <w:tcPr>
            <w:tcW w:w="10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724"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小计</w:t>
            </w:r>
          </w:p>
        </w:tc>
        <w:tc>
          <w:tcPr>
            <w:tcW w:w="3907"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（行数不足可附表填制）　</w:t>
            </w:r>
          </w:p>
        </w:tc>
        <w:tc>
          <w:tcPr>
            <w:tcW w:w="1051" w:type="dxa"/>
            <w:gridSpan w:val="4"/>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c>
          <w:tcPr>
            <w:tcW w:w="1530" w:type="dxa"/>
            <w:gridSpan w:val="5"/>
            <w:tcBorders>
              <w:top w:val="nil"/>
              <w:left w:val="nil"/>
              <w:bottom w:val="single" w:color="auto" w:sz="4" w:space="0"/>
              <w:right w:val="single" w:color="auto" w:sz="4" w:space="0"/>
            </w:tcBorders>
            <w:vAlign w:val="center"/>
          </w:tcPr>
          <w:p>
            <w:pPr>
              <w:jc w:val="center"/>
              <w:rPr>
                <w:rFonts w:ascii="宋体" w:cs="宋体"/>
                <w:kern w:val="0"/>
                <w:szCs w:val="21"/>
              </w:rPr>
            </w:pPr>
          </w:p>
        </w:tc>
        <w:tc>
          <w:tcPr>
            <w:tcW w:w="1602" w:type="dxa"/>
            <w:gridSpan w:val="2"/>
            <w:tcBorders>
              <w:top w:val="nil"/>
              <w:left w:val="nil"/>
              <w:bottom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40" w:hRule="atLeast"/>
          <w:jc w:val="center"/>
        </w:trPr>
        <w:tc>
          <w:tcPr>
            <w:tcW w:w="1058"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cs="宋体"/>
                <w:kern w:val="0"/>
                <w:szCs w:val="21"/>
              </w:rPr>
            </w:pPr>
            <w:r>
              <w:rPr>
                <w:rFonts w:hint="eastAsia" w:ascii="宋体" w:hAnsi="宋体" w:cs="宋体"/>
                <w:kern w:val="0"/>
                <w:szCs w:val="21"/>
              </w:rPr>
              <w:t>验 收 意 见</w:t>
            </w:r>
          </w:p>
        </w:tc>
        <w:tc>
          <w:tcPr>
            <w:tcW w:w="8814" w:type="dxa"/>
            <w:gridSpan w:val="19"/>
            <w:tcBorders>
              <w:top w:val="nil"/>
              <w:left w:val="single" w:color="auto" w:sz="4" w:space="0"/>
              <w:bottom w:val="nil"/>
              <w:right w:val="single" w:color="auto" w:sz="4" w:space="0"/>
            </w:tcBorders>
            <w:vAlign w:val="center"/>
          </w:tcPr>
          <w:p>
            <w:pPr>
              <w:jc w:val="left"/>
              <w:rPr>
                <w:rFonts w:ascii="宋体" w:cs="宋体"/>
                <w:kern w:val="0"/>
                <w:szCs w:val="21"/>
              </w:rPr>
            </w:pPr>
            <w:r>
              <w:rPr>
                <w:rFonts w:hint="eastAsia" w:ascii="宋体" w:hAnsi="宋体" w:cs="宋体"/>
                <w:kern w:val="0"/>
                <w:szCs w:val="21"/>
              </w:rPr>
              <w:t>□1、供应商提供货物的规格、型号、数量、颜色等是否与供应商的中标内容相符　</w:t>
            </w:r>
          </w:p>
        </w:tc>
      </w:tr>
      <w:tr>
        <w:tblPrEx>
          <w:tblCellMar>
            <w:top w:w="0" w:type="dxa"/>
            <w:left w:w="108" w:type="dxa"/>
            <w:bottom w:w="0" w:type="dxa"/>
            <w:right w:w="108" w:type="dxa"/>
          </w:tblCellMar>
        </w:tblPrEx>
        <w:trPr>
          <w:trHeight w:val="340" w:hRule="atLeast"/>
          <w:jc w:val="center"/>
        </w:trPr>
        <w:tc>
          <w:tcPr>
            <w:tcW w:w="10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814" w:type="dxa"/>
            <w:gridSpan w:val="19"/>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□2、供应商是否按照合同和承诺的时间、地点交货</w:t>
            </w:r>
          </w:p>
        </w:tc>
      </w:tr>
      <w:tr>
        <w:tblPrEx>
          <w:tblCellMar>
            <w:top w:w="0" w:type="dxa"/>
            <w:left w:w="108" w:type="dxa"/>
            <w:bottom w:w="0" w:type="dxa"/>
            <w:right w:w="108" w:type="dxa"/>
          </w:tblCellMar>
        </w:tblPrEx>
        <w:trPr>
          <w:trHeight w:val="340" w:hRule="atLeast"/>
          <w:jc w:val="center"/>
        </w:trPr>
        <w:tc>
          <w:tcPr>
            <w:tcW w:w="10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814" w:type="dxa"/>
            <w:gridSpan w:val="19"/>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□3、货物安装调试是否完成</w:t>
            </w:r>
          </w:p>
        </w:tc>
      </w:tr>
      <w:tr>
        <w:tblPrEx>
          <w:tblCellMar>
            <w:top w:w="0" w:type="dxa"/>
            <w:left w:w="108" w:type="dxa"/>
            <w:bottom w:w="0" w:type="dxa"/>
            <w:right w:w="108" w:type="dxa"/>
          </w:tblCellMar>
        </w:tblPrEx>
        <w:trPr>
          <w:trHeight w:val="340" w:hRule="atLeast"/>
          <w:jc w:val="center"/>
        </w:trPr>
        <w:tc>
          <w:tcPr>
            <w:tcW w:w="10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814" w:type="dxa"/>
            <w:gridSpan w:val="19"/>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□4、设备是否能够正常运行</w:t>
            </w:r>
          </w:p>
        </w:tc>
      </w:tr>
      <w:tr>
        <w:tblPrEx>
          <w:tblCellMar>
            <w:top w:w="0" w:type="dxa"/>
            <w:left w:w="108" w:type="dxa"/>
            <w:bottom w:w="0" w:type="dxa"/>
            <w:right w:w="108" w:type="dxa"/>
          </w:tblCellMar>
        </w:tblPrEx>
        <w:trPr>
          <w:trHeight w:val="340" w:hRule="atLeast"/>
          <w:jc w:val="center"/>
        </w:trPr>
        <w:tc>
          <w:tcPr>
            <w:tcW w:w="10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814" w:type="dxa"/>
            <w:gridSpan w:val="19"/>
            <w:tcBorders>
              <w:top w:val="single" w:color="auto" w:sz="4" w:space="0"/>
              <w:left w:val="single" w:color="auto" w:sz="4" w:space="0"/>
              <w:bottom w:val="nil"/>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□5、供应商提供的发票是否真实</w:t>
            </w:r>
          </w:p>
        </w:tc>
      </w:tr>
      <w:tr>
        <w:tblPrEx>
          <w:tblCellMar>
            <w:top w:w="0" w:type="dxa"/>
            <w:left w:w="108" w:type="dxa"/>
            <w:bottom w:w="0" w:type="dxa"/>
            <w:right w:w="108" w:type="dxa"/>
          </w:tblCellMar>
        </w:tblPrEx>
        <w:trPr>
          <w:trHeight w:val="340" w:hRule="atLeast"/>
          <w:jc w:val="center"/>
        </w:trPr>
        <w:tc>
          <w:tcPr>
            <w:tcW w:w="10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814" w:type="dxa"/>
            <w:gridSpan w:val="19"/>
            <w:tcBorders>
              <w:top w:val="single" w:color="auto" w:sz="4" w:space="0"/>
              <w:left w:val="single" w:color="auto" w:sz="4" w:space="0"/>
              <w:bottom w:val="nil"/>
              <w:right w:val="single" w:color="auto" w:sz="4" w:space="0"/>
            </w:tcBorders>
            <w:vAlign w:val="center"/>
          </w:tcPr>
          <w:p>
            <w:pPr>
              <w:jc w:val="left"/>
              <w:rPr>
                <w:rFonts w:ascii="宋体" w:cs="宋体"/>
                <w:kern w:val="0"/>
                <w:szCs w:val="21"/>
              </w:rPr>
            </w:pPr>
            <w:r>
              <w:rPr>
                <w:rFonts w:hint="eastAsia" w:ascii="宋体" w:hAnsi="宋体" w:cs="宋体"/>
                <w:kern w:val="0"/>
                <w:szCs w:val="21"/>
              </w:rPr>
              <w:t>其他需要说明的事项：　</w:t>
            </w:r>
          </w:p>
        </w:tc>
      </w:tr>
      <w:tr>
        <w:tblPrEx>
          <w:tblCellMar>
            <w:top w:w="0" w:type="dxa"/>
            <w:left w:w="108" w:type="dxa"/>
            <w:bottom w:w="0" w:type="dxa"/>
            <w:right w:w="108" w:type="dxa"/>
          </w:tblCellMar>
        </w:tblPrEx>
        <w:trPr>
          <w:trHeight w:val="340" w:hRule="atLeast"/>
          <w:jc w:val="center"/>
        </w:trPr>
        <w:tc>
          <w:tcPr>
            <w:tcW w:w="10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75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验收人员</w:t>
            </w:r>
          </w:p>
        </w:tc>
        <w:tc>
          <w:tcPr>
            <w:tcW w:w="1276"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签名</w:t>
            </w:r>
          </w:p>
        </w:tc>
        <w:tc>
          <w:tcPr>
            <w:tcW w:w="1821"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职务或职称</w:t>
            </w:r>
          </w:p>
        </w:tc>
        <w:tc>
          <w:tcPr>
            <w:tcW w:w="2229"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单位名称</w:t>
            </w:r>
          </w:p>
        </w:tc>
        <w:tc>
          <w:tcPr>
            <w:tcW w:w="173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职系方式</w:t>
            </w:r>
          </w:p>
        </w:tc>
      </w:tr>
      <w:tr>
        <w:tblPrEx>
          <w:tblCellMar>
            <w:top w:w="0" w:type="dxa"/>
            <w:left w:w="108" w:type="dxa"/>
            <w:bottom w:w="0" w:type="dxa"/>
            <w:right w:w="108" w:type="dxa"/>
          </w:tblCellMar>
        </w:tblPrEx>
        <w:trPr>
          <w:trHeight w:val="340" w:hRule="atLeast"/>
          <w:jc w:val="center"/>
        </w:trPr>
        <w:tc>
          <w:tcPr>
            <w:tcW w:w="10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75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验收组负责人</w:t>
            </w:r>
          </w:p>
        </w:tc>
        <w:tc>
          <w:tcPr>
            <w:tcW w:w="1276"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　</w:t>
            </w:r>
          </w:p>
        </w:tc>
        <w:tc>
          <w:tcPr>
            <w:tcW w:w="1821" w:type="dxa"/>
            <w:gridSpan w:val="4"/>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　</w:t>
            </w:r>
          </w:p>
        </w:tc>
        <w:tc>
          <w:tcPr>
            <w:tcW w:w="2229" w:type="dxa"/>
            <w:gridSpan w:val="7"/>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　</w:t>
            </w:r>
          </w:p>
        </w:tc>
        <w:tc>
          <w:tcPr>
            <w:tcW w:w="173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40" w:hRule="atLeast"/>
          <w:jc w:val="center"/>
        </w:trPr>
        <w:tc>
          <w:tcPr>
            <w:tcW w:w="10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75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验收组成员1</w:t>
            </w:r>
          </w:p>
        </w:tc>
        <w:tc>
          <w:tcPr>
            <w:tcW w:w="1276"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　</w:t>
            </w:r>
          </w:p>
        </w:tc>
        <w:tc>
          <w:tcPr>
            <w:tcW w:w="1821" w:type="dxa"/>
            <w:gridSpan w:val="4"/>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　</w:t>
            </w:r>
          </w:p>
        </w:tc>
        <w:tc>
          <w:tcPr>
            <w:tcW w:w="2229" w:type="dxa"/>
            <w:gridSpan w:val="7"/>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　</w:t>
            </w:r>
          </w:p>
        </w:tc>
        <w:tc>
          <w:tcPr>
            <w:tcW w:w="173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40" w:hRule="atLeast"/>
          <w:jc w:val="center"/>
        </w:trPr>
        <w:tc>
          <w:tcPr>
            <w:tcW w:w="10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75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验收组成员2</w:t>
            </w:r>
          </w:p>
        </w:tc>
        <w:tc>
          <w:tcPr>
            <w:tcW w:w="1276"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　</w:t>
            </w:r>
          </w:p>
        </w:tc>
        <w:tc>
          <w:tcPr>
            <w:tcW w:w="1821" w:type="dxa"/>
            <w:gridSpan w:val="4"/>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　</w:t>
            </w:r>
          </w:p>
        </w:tc>
        <w:tc>
          <w:tcPr>
            <w:tcW w:w="2229" w:type="dxa"/>
            <w:gridSpan w:val="7"/>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　</w:t>
            </w:r>
          </w:p>
        </w:tc>
        <w:tc>
          <w:tcPr>
            <w:tcW w:w="173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40" w:hRule="atLeast"/>
          <w:jc w:val="center"/>
        </w:trPr>
        <w:tc>
          <w:tcPr>
            <w:tcW w:w="10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75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社会机构人员1</w:t>
            </w:r>
          </w:p>
        </w:tc>
        <w:tc>
          <w:tcPr>
            <w:tcW w:w="1276"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　</w:t>
            </w:r>
          </w:p>
        </w:tc>
        <w:tc>
          <w:tcPr>
            <w:tcW w:w="1821" w:type="dxa"/>
            <w:gridSpan w:val="4"/>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　</w:t>
            </w:r>
          </w:p>
        </w:tc>
        <w:tc>
          <w:tcPr>
            <w:tcW w:w="2229" w:type="dxa"/>
            <w:gridSpan w:val="7"/>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　</w:t>
            </w:r>
          </w:p>
        </w:tc>
        <w:tc>
          <w:tcPr>
            <w:tcW w:w="173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40" w:hRule="atLeast"/>
          <w:jc w:val="center"/>
        </w:trPr>
        <w:tc>
          <w:tcPr>
            <w:tcW w:w="10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75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社会机构人员2</w:t>
            </w:r>
          </w:p>
        </w:tc>
        <w:tc>
          <w:tcPr>
            <w:tcW w:w="1276"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　</w:t>
            </w:r>
          </w:p>
        </w:tc>
        <w:tc>
          <w:tcPr>
            <w:tcW w:w="1821" w:type="dxa"/>
            <w:gridSpan w:val="4"/>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　</w:t>
            </w:r>
          </w:p>
        </w:tc>
        <w:tc>
          <w:tcPr>
            <w:tcW w:w="2229" w:type="dxa"/>
            <w:gridSpan w:val="7"/>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　</w:t>
            </w:r>
          </w:p>
        </w:tc>
        <w:tc>
          <w:tcPr>
            <w:tcW w:w="173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40" w:hRule="atLeast"/>
          <w:jc w:val="center"/>
        </w:trPr>
        <w:tc>
          <w:tcPr>
            <w:tcW w:w="10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75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中标供应商代表</w:t>
            </w:r>
          </w:p>
        </w:tc>
        <w:tc>
          <w:tcPr>
            <w:tcW w:w="1276"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　</w:t>
            </w:r>
          </w:p>
        </w:tc>
        <w:tc>
          <w:tcPr>
            <w:tcW w:w="1821" w:type="dxa"/>
            <w:gridSpan w:val="4"/>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　</w:t>
            </w:r>
          </w:p>
        </w:tc>
        <w:tc>
          <w:tcPr>
            <w:tcW w:w="2229" w:type="dxa"/>
            <w:gridSpan w:val="7"/>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　</w:t>
            </w:r>
          </w:p>
        </w:tc>
        <w:tc>
          <w:tcPr>
            <w:tcW w:w="173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40" w:hRule="atLeast"/>
          <w:jc w:val="center"/>
        </w:trPr>
        <w:tc>
          <w:tcPr>
            <w:tcW w:w="10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814" w:type="dxa"/>
            <w:gridSpan w:val="19"/>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r>
              <w:rPr>
                <w:rFonts w:hint="eastAsia" w:ascii="宋体" w:hAnsi="宋体" w:cs="宋体"/>
                <w:kern w:val="0"/>
                <w:szCs w:val="21"/>
              </w:rPr>
              <w:t>采购单位财务负责人：（签字）                      单位公章：</w:t>
            </w:r>
          </w:p>
          <w:p>
            <w:pPr>
              <w:widowControl/>
              <w:jc w:val="left"/>
              <w:rPr>
                <w:rFonts w:ascii="宋体" w:cs="宋体"/>
                <w:kern w:val="0"/>
                <w:szCs w:val="21"/>
              </w:rPr>
            </w:pPr>
            <w:r>
              <w:rPr>
                <w:rFonts w:hint="eastAsia" w:ascii="宋体" w:hAnsi="宋体" w:cs="宋体"/>
                <w:kern w:val="0"/>
                <w:szCs w:val="21"/>
              </w:rPr>
              <w:t>　</w:t>
            </w:r>
          </w:p>
          <w:p>
            <w:pPr>
              <w:widowControl/>
              <w:jc w:val="left"/>
              <w:rPr>
                <w:rFonts w:ascii="宋体" w:cs="宋体"/>
                <w:kern w:val="0"/>
                <w:szCs w:val="21"/>
              </w:rPr>
            </w:pPr>
            <w:r>
              <w:rPr>
                <w:rFonts w:hint="eastAsia" w:ascii="宋体" w:hAnsi="宋体" w:cs="宋体"/>
                <w:kern w:val="0"/>
                <w:szCs w:val="21"/>
              </w:rPr>
              <w:t>　</w:t>
            </w:r>
          </w:p>
          <w:p>
            <w:pPr>
              <w:jc w:val="right"/>
              <w:rPr>
                <w:rFonts w:ascii="宋体" w:cs="宋体"/>
                <w:kern w:val="0"/>
                <w:szCs w:val="21"/>
              </w:rPr>
            </w:pPr>
            <w:r>
              <w:rPr>
                <w:rFonts w:hint="eastAsia" w:ascii="宋体" w:hAnsi="宋体" w:cs="宋体"/>
                <w:kern w:val="0"/>
                <w:szCs w:val="21"/>
              </w:rPr>
              <w:t>验收日期：          年    月日</w:t>
            </w:r>
          </w:p>
        </w:tc>
      </w:tr>
    </w:tbl>
    <w:p>
      <w:r>
        <w:rPr>
          <w:rFonts w:hint="eastAsia"/>
        </w:rPr>
        <w:t>备注：本表一式四份，采购人、供应商、政府采购管理科、采购机构各一份</w:t>
      </w:r>
    </w:p>
    <w:p>
      <w:pPr>
        <w:spacing w:line="600" w:lineRule="exact"/>
      </w:pPr>
    </w:p>
    <w:p>
      <w:pPr>
        <w:widowControl/>
        <w:jc w:val="left"/>
        <w:rPr>
          <w:rFonts w:ascii="Arial" w:hAnsi="Arial" w:cs="Arial"/>
          <w:b/>
          <w:kern w:val="0"/>
          <w:sz w:val="28"/>
          <w:szCs w:val="28"/>
        </w:rPr>
        <w:sectPr>
          <w:headerReference r:id="rId3" w:type="default"/>
          <w:footerReference r:id="rId4" w:type="default"/>
          <w:type w:val="continuous"/>
          <w:pgSz w:w="11906" w:h="16838"/>
          <w:pgMar w:top="1134" w:right="1134" w:bottom="1134" w:left="1134" w:header="851" w:footer="992" w:gutter="0"/>
          <w:pgNumType w:fmt="decimal"/>
          <w:cols w:space="720" w:num="1"/>
        </w:sectPr>
      </w:pPr>
    </w:p>
    <w:p>
      <w:pPr>
        <w:pageBreakBefore/>
        <w:jc w:val="center"/>
        <w:outlineLvl w:val="0"/>
        <w:rPr>
          <w:rFonts w:ascii="Arial" w:hAnsi="Arial" w:cs="Arial"/>
          <w:b/>
          <w:kern w:val="0"/>
          <w:sz w:val="28"/>
          <w:szCs w:val="28"/>
        </w:rPr>
      </w:pPr>
      <w:bookmarkStart w:id="17" w:name="_Toc13772"/>
      <w:bookmarkStart w:id="18" w:name="_Toc352761953"/>
      <w:bookmarkStart w:id="19" w:name="_Toc175644061"/>
      <w:r>
        <w:rPr>
          <w:rFonts w:hint="eastAsia" w:ascii="Arial" w:hAnsi="Arial" w:cs="Arial"/>
          <w:b/>
          <w:kern w:val="0"/>
          <w:sz w:val="28"/>
          <w:szCs w:val="28"/>
        </w:rPr>
        <w:t>第</w:t>
      </w:r>
      <w:r>
        <w:rPr>
          <w:rFonts w:hint="eastAsia" w:ascii="Arial" w:hAnsi="Arial" w:cs="Arial"/>
          <w:b/>
          <w:kern w:val="0"/>
          <w:sz w:val="28"/>
          <w:szCs w:val="28"/>
          <w:lang w:eastAsia="zh-CN"/>
        </w:rPr>
        <w:t>八</w:t>
      </w:r>
      <w:r>
        <w:rPr>
          <w:rFonts w:hint="eastAsia" w:ascii="Arial" w:hAnsi="Arial" w:cs="Arial"/>
          <w:b/>
          <w:kern w:val="0"/>
          <w:sz w:val="28"/>
          <w:szCs w:val="28"/>
        </w:rPr>
        <w:t>部分</w:t>
      </w:r>
      <w:bookmarkStart w:id="20" w:name="_Toc86202632"/>
      <w:r>
        <w:rPr>
          <w:rFonts w:hint="eastAsia" w:ascii="Arial" w:hAnsi="Arial" w:cs="Arial"/>
          <w:b/>
          <w:kern w:val="0"/>
          <w:sz w:val="28"/>
          <w:szCs w:val="28"/>
        </w:rPr>
        <w:t>投标文件格式</w:t>
      </w:r>
      <w:bookmarkEnd w:id="17"/>
      <w:bookmarkEnd w:id="18"/>
      <w:bookmarkEnd w:id="19"/>
      <w:bookmarkEnd w:id="20"/>
    </w:p>
    <w:p>
      <w:pPr>
        <w:snapToGrid w:val="0"/>
        <w:spacing w:line="480" w:lineRule="exact"/>
      </w:pPr>
    </w:p>
    <w:p>
      <w:pPr>
        <w:spacing w:line="480" w:lineRule="exact"/>
        <w:rPr>
          <w:rFonts w:ascii="Arial" w:hAnsi="Arial" w:cs="Arial"/>
          <w:b/>
          <w:kern w:val="0"/>
          <w:szCs w:val="21"/>
          <w:u w:val="single"/>
        </w:rPr>
      </w:pPr>
      <w:bookmarkStart w:id="21" w:name="_Toc175644062"/>
      <w:bookmarkStart w:id="22" w:name="_Toc326248014"/>
      <w:bookmarkStart w:id="23" w:name="_Toc86202633"/>
      <w:r>
        <w:rPr>
          <w:rFonts w:hint="eastAsia" w:ascii="Arial" w:hAnsi="Arial" w:cs="Arial"/>
          <w:b/>
          <w:kern w:val="0"/>
          <w:szCs w:val="21"/>
          <w:u w:val="single"/>
        </w:rPr>
        <w:t>一、投标人提交文件须知</w:t>
      </w:r>
      <w:bookmarkEnd w:id="21"/>
      <w:bookmarkEnd w:id="22"/>
      <w:bookmarkEnd w:id="23"/>
    </w:p>
    <w:p>
      <w:pPr>
        <w:spacing w:line="480" w:lineRule="exact"/>
        <w:ind w:firstLine="432" w:firstLineChars="206"/>
        <w:rPr>
          <w:rFonts w:hint="eastAsia" w:ascii="宋体" w:hAnsi="宋体" w:eastAsia="宋体" w:cs="宋体"/>
          <w:kern w:val="0"/>
          <w:sz w:val="21"/>
          <w:szCs w:val="21"/>
        </w:rPr>
      </w:pPr>
      <w:r>
        <w:rPr>
          <w:rFonts w:hint="eastAsia" w:ascii="宋体" w:hAnsi="宋体" w:eastAsia="宋体" w:cs="宋体"/>
          <w:kern w:val="0"/>
          <w:sz w:val="21"/>
          <w:szCs w:val="21"/>
        </w:rPr>
        <w:t>1、投标人按照本部分的顺序编排投标文件（资格证明文件）、投标文件（商务技术文件），编排中涉及格式资料的，应按照本部分提供的内容和格式（所有表格的格式可扩展）填写提交。</w:t>
      </w:r>
    </w:p>
    <w:p>
      <w:pPr>
        <w:spacing w:line="480" w:lineRule="exact"/>
        <w:ind w:firstLine="432" w:firstLineChars="206"/>
        <w:rPr>
          <w:rFonts w:hint="eastAsia" w:ascii="宋体" w:hAnsi="宋体" w:eastAsia="宋体" w:cs="宋体"/>
          <w:kern w:val="0"/>
          <w:sz w:val="21"/>
          <w:szCs w:val="21"/>
        </w:rPr>
      </w:pPr>
      <w:r>
        <w:rPr>
          <w:rFonts w:hint="eastAsia" w:ascii="宋体" w:hAnsi="宋体" w:eastAsia="宋体" w:cs="宋体"/>
          <w:kern w:val="0"/>
          <w:sz w:val="21"/>
          <w:szCs w:val="21"/>
        </w:rPr>
        <w:t>2、全部声明和问题的回答及所附材料必须是真实的、准确的和完整的。</w:t>
      </w:r>
    </w:p>
    <w:p>
      <w:pPr>
        <w:spacing w:line="480" w:lineRule="exact"/>
        <w:ind w:firstLine="432" w:firstLineChars="206"/>
        <w:rPr>
          <w:rFonts w:hint="eastAsia" w:ascii="宋体" w:hAnsi="宋体" w:eastAsia="宋体" w:cs="宋体"/>
          <w:kern w:val="0"/>
          <w:sz w:val="21"/>
          <w:szCs w:val="21"/>
        </w:rPr>
      </w:pPr>
      <w:r>
        <w:rPr>
          <w:rFonts w:hint="eastAsia" w:ascii="宋体" w:hAnsi="宋体" w:eastAsia="宋体" w:cs="宋体"/>
          <w:kern w:val="0"/>
          <w:sz w:val="21"/>
          <w:szCs w:val="21"/>
        </w:rPr>
        <w:t>3、按招标文件要求“格式”提供的材料，如有调整，内容及签署必须完整、有效，且没有本文件不可接受的条件。</w:t>
      </w:r>
    </w:p>
    <w:p>
      <w:pPr>
        <w:pStyle w:val="52"/>
        <w:rPr>
          <w:rFonts w:hint="eastAsia" w:ascii="宋体" w:hAnsi="宋体" w:eastAsia="宋体" w:cs="宋体"/>
          <w:kern w:val="0"/>
          <w:sz w:val="21"/>
          <w:szCs w:val="21"/>
        </w:rPr>
      </w:pPr>
    </w:p>
    <w:p>
      <w:pPr>
        <w:pStyle w:val="51"/>
        <w:rPr>
          <w:rFonts w:hint="eastAsia" w:ascii="宋体" w:hAnsi="宋体" w:eastAsia="宋体" w:cs="宋体"/>
          <w:kern w:val="0"/>
          <w:sz w:val="21"/>
          <w:szCs w:val="21"/>
        </w:rPr>
      </w:pPr>
    </w:p>
    <w:p>
      <w:pPr>
        <w:rPr>
          <w:rFonts w:hint="eastAsia" w:ascii="宋体" w:hAnsi="宋体" w:eastAsia="宋体" w:cs="宋体"/>
          <w:kern w:val="0"/>
          <w:sz w:val="21"/>
          <w:szCs w:val="21"/>
        </w:rPr>
      </w:pPr>
    </w:p>
    <w:p>
      <w:pPr>
        <w:pStyle w:val="52"/>
        <w:rPr>
          <w:rFonts w:hint="eastAsia" w:ascii="宋体" w:hAnsi="宋体" w:eastAsia="宋体" w:cs="宋体"/>
          <w:kern w:val="0"/>
          <w:sz w:val="21"/>
          <w:szCs w:val="21"/>
        </w:rPr>
      </w:pPr>
    </w:p>
    <w:p>
      <w:pPr>
        <w:pStyle w:val="51"/>
        <w:rPr>
          <w:rFonts w:hint="eastAsia" w:ascii="宋体" w:hAnsi="宋体" w:eastAsia="宋体" w:cs="宋体"/>
          <w:kern w:val="0"/>
          <w:sz w:val="21"/>
          <w:szCs w:val="21"/>
        </w:rPr>
      </w:pPr>
    </w:p>
    <w:p>
      <w:pPr>
        <w:rPr>
          <w:rFonts w:hint="eastAsia" w:ascii="宋体" w:hAnsi="宋体" w:eastAsia="宋体" w:cs="宋体"/>
          <w:kern w:val="0"/>
          <w:sz w:val="21"/>
          <w:szCs w:val="21"/>
        </w:rPr>
      </w:pPr>
    </w:p>
    <w:p>
      <w:pPr>
        <w:pStyle w:val="52"/>
        <w:rPr>
          <w:rFonts w:hint="eastAsia" w:ascii="宋体" w:hAnsi="宋体" w:eastAsia="宋体" w:cs="宋体"/>
          <w:kern w:val="0"/>
          <w:sz w:val="21"/>
          <w:szCs w:val="21"/>
        </w:rPr>
      </w:pPr>
    </w:p>
    <w:p>
      <w:pPr>
        <w:pStyle w:val="51"/>
        <w:rPr>
          <w:rFonts w:hint="eastAsia" w:ascii="宋体" w:hAnsi="宋体" w:eastAsia="宋体" w:cs="宋体"/>
          <w:kern w:val="0"/>
          <w:sz w:val="21"/>
          <w:szCs w:val="21"/>
        </w:rPr>
      </w:pPr>
    </w:p>
    <w:p>
      <w:pPr>
        <w:rPr>
          <w:rFonts w:hint="eastAsia" w:ascii="宋体" w:hAnsi="宋体" w:eastAsia="宋体" w:cs="宋体"/>
          <w:kern w:val="0"/>
          <w:sz w:val="21"/>
          <w:szCs w:val="21"/>
        </w:rPr>
      </w:pPr>
    </w:p>
    <w:p>
      <w:pPr>
        <w:pStyle w:val="52"/>
        <w:rPr>
          <w:rFonts w:hint="eastAsia" w:ascii="宋体" w:hAnsi="宋体" w:eastAsia="宋体" w:cs="宋体"/>
          <w:kern w:val="0"/>
          <w:sz w:val="21"/>
          <w:szCs w:val="21"/>
        </w:rPr>
      </w:pPr>
    </w:p>
    <w:p>
      <w:pPr>
        <w:pStyle w:val="51"/>
        <w:rPr>
          <w:rFonts w:hint="eastAsia" w:ascii="宋体" w:hAnsi="宋体" w:eastAsia="宋体" w:cs="宋体"/>
          <w:kern w:val="0"/>
          <w:sz w:val="21"/>
          <w:szCs w:val="21"/>
        </w:rPr>
      </w:pPr>
    </w:p>
    <w:p>
      <w:pPr>
        <w:rPr>
          <w:rFonts w:hint="eastAsia" w:ascii="宋体" w:hAnsi="宋体" w:eastAsia="宋体" w:cs="宋体"/>
          <w:kern w:val="0"/>
          <w:sz w:val="21"/>
          <w:szCs w:val="21"/>
        </w:rPr>
      </w:pPr>
    </w:p>
    <w:p>
      <w:pPr>
        <w:pStyle w:val="52"/>
        <w:rPr>
          <w:rFonts w:hint="eastAsia" w:ascii="宋体" w:hAnsi="宋体" w:eastAsia="宋体" w:cs="宋体"/>
          <w:kern w:val="0"/>
          <w:sz w:val="21"/>
          <w:szCs w:val="21"/>
        </w:rPr>
      </w:pPr>
    </w:p>
    <w:p>
      <w:pPr>
        <w:pStyle w:val="51"/>
        <w:rPr>
          <w:rFonts w:hint="eastAsia" w:ascii="宋体" w:hAnsi="宋体" w:eastAsia="宋体" w:cs="宋体"/>
          <w:kern w:val="0"/>
          <w:sz w:val="21"/>
          <w:szCs w:val="21"/>
        </w:rPr>
      </w:pPr>
    </w:p>
    <w:p>
      <w:pPr>
        <w:rPr>
          <w:rFonts w:hint="eastAsia" w:ascii="宋体" w:hAnsi="宋体" w:eastAsia="宋体" w:cs="宋体"/>
          <w:kern w:val="0"/>
          <w:sz w:val="21"/>
          <w:szCs w:val="21"/>
        </w:rPr>
      </w:pPr>
    </w:p>
    <w:p>
      <w:pPr>
        <w:pStyle w:val="52"/>
        <w:rPr>
          <w:rFonts w:hint="eastAsia" w:ascii="宋体" w:hAnsi="宋体" w:eastAsia="宋体" w:cs="宋体"/>
          <w:kern w:val="0"/>
          <w:sz w:val="21"/>
          <w:szCs w:val="21"/>
        </w:rPr>
      </w:pPr>
    </w:p>
    <w:p>
      <w:pPr>
        <w:pStyle w:val="51"/>
        <w:rPr>
          <w:rFonts w:hint="eastAsia" w:ascii="宋体" w:hAnsi="宋体" w:eastAsia="宋体" w:cs="宋体"/>
          <w:kern w:val="0"/>
          <w:sz w:val="21"/>
          <w:szCs w:val="21"/>
        </w:rPr>
      </w:pPr>
    </w:p>
    <w:p>
      <w:pPr>
        <w:rPr>
          <w:rFonts w:hint="eastAsia" w:ascii="宋体" w:hAnsi="宋体" w:eastAsia="宋体" w:cs="宋体"/>
          <w:kern w:val="0"/>
          <w:sz w:val="21"/>
          <w:szCs w:val="21"/>
        </w:rPr>
      </w:pPr>
    </w:p>
    <w:p>
      <w:pPr>
        <w:pStyle w:val="52"/>
        <w:rPr>
          <w:rFonts w:hint="eastAsia" w:ascii="宋体" w:hAnsi="宋体" w:eastAsia="宋体" w:cs="宋体"/>
          <w:kern w:val="0"/>
          <w:sz w:val="21"/>
          <w:szCs w:val="21"/>
        </w:rPr>
      </w:pPr>
    </w:p>
    <w:p>
      <w:pPr>
        <w:pStyle w:val="51"/>
        <w:rPr>
          <w:rFonts w:hint="eastAsia" w:ascii="宋体" w:hAnsi="宋体" w:eastAsia="宋体" w:cs="宋体"/>
          <w:kern w:val="0"/>
          <w:sz w:val="21"/>
          <w:szCs w:val="21"/>
        </w:rPr>
      </w:pPr>
    </w:p>
    <w:p>
      <w:pPr>
        <w:rPr>
          <w:rFonts w:hint="eastAsia" w:ascii="宋体" w:hAnsi="宋体" w:eastAsia="宋体" w:cs="宋体"/>
          <w:kern w:val="0"/>
          <w:sz w:val="21"/>
          <w:szCs w:val="21"/>
        </w:rPr>
      </w:pPr>
    </w:p>
    <w:p>
      <w:pPr>
        <w:pStyle w:val="52"/>
        <w:rPr>
          <w:rFonts w:hint="eastAsia" w:ascii="宋体" w:hAnsi="宋体" w:eastAsia="宋体" w:cs="宋体"/>
          <w:kern w:val="0"/>
          <w:sz w:val="21"/>
          <w:szCs w:val="21"/>
        </w:rPr>
      </w:pPr>
    </w:p>
    <w:p>
      <w:pPr>
        <w:pStyle w:val="51"/>
        <w:rPr>
          <w:rFonts w:hint="eastAsia" w:ascii="宋体" w:hAnsi="宋体" w:eastAsia="宋体" w:cs="宋体"/>
          <w:kern w:val="0"/>
          <w:sz w:val="21"/>
          <w:szCs w:val="21"/>
        </w:rPr>
      </w:pPr>
    </w:p>
    <w:p>
      <w:pPr>
        <w:rPr>
          <w:rFonts w:hint="eastAsia" w:ascii="宋体" w:hAnsi="宋体" w:eastAsia="宋体" w:cs="宋体"/>
          <w:kern w:val="0"/>
          <w:sz w:val="21"/>
          <w:szCs w:val="21"/>
        </w:rPr>
      </w:pPr>
    </w:p>
    <w:p>
      <w:pPr>
        <w:pStyle w:val="52"/>
        <w:rPr>
          <w:rFonts w:hint="eastAsia" w:ascii="宋体" w:hAnsi="宋体" w:eastAsia="宋体" w:cs="宋体"/>
          <w:kern w:val="0"/>
          <w:sz w:val="21"/>
          <w:szCs w:val="21"/>
        </w:rPr>
      </w:pPr>
    </w:p>
    <w:p>
      <w:pPr>
        <w:pStyle w:val="51"/>
        <w:rPr>
          <w:rFonts w:hint="eastAsia" w:ascii="宋体" w:hAnsi="宋体" w:eastAsia="宋体" w:cs="宋体"/>
          <w:kern w:val="0"/>
          <w:sz w:val="21"/>
          <w:szCs w:val="21"/>
        </w:rPr>
      </w:pPr>
    </w:p>
    <w:p>
      <w:pPr>
        <w:rPr>
          <w:rFonts w:hint="eastAsia" w:ascii="宋体" w:hAnsi="宋体" w:eastAsia="宋体" w:cs="宋体"/>
          <w:kern w:val="0"/>
          <w:sz w:val="21"/>
          <w:szCs w:val="21"/>
        </w:rPr>
      </w:pPr>
    </w:p>
    <w:p>
      <w:pPr>
        <w:pStyle w:val="52"/>
        <w:rPr>
          <w:rFonts w:hint="eastAsia" w:ascii="宋体" w:hAnsi="宋体" w:eastAsia="宋体" w:cs="宋体"/>
          <w:kern w:val="0"/>
          <w:sz w:val="21"/>
          <w:szCs w:val="21"/>
        </w:rPr>
      </w:pPr>
    </w:p>
    <w:p>
      <w:pPr>
        <w:pStyle w:val="51"/>
        <w:rPr>
          <w:rFonts w:hint="eastAsia" w:ascii="宋体" w:hAnsi="宋体" w:eastAsia="宋体" w:cs="宋体"/>
          <w:kern w:val="0"/>
          <w:sz w:val="21"/>
          <w:szCs w:val="21"/>
        </w:rPr>
      </w:pPr>
    </w:p>
    <w:p>
      <w:pPr>
        <w:rPr>
          <w:rFonts w:hint="eastAsia"/>
        </w:rPr>
      </w:pPr>
    </w:p>
    <w:p>
      <w:pPr>
        <w:rPr>
          <w:rFonts w:ascii="华文中宋" w:hAnsi="华文中宋" w:eastAsia="华文中宋"/>
          <w:b/>
        </w:rPr>
      </w:pPr>
      <w:r>
        <w:rPr>
          <w:rFonts w:hint="eastAsia" w:ascii="华文中宋" w:hAnsi="华文中宋" w:eastAsia="华文中宋"/>
          <w:b/>
        </w:rPr>
        <w:t>封面格式</w:t>
      </w:r>
    </w:p>
    <w:p>
      <w:pPr>
        <w:jc w:val="center"/>
        <w:rPr>
          <w:rFonts w:ascii="华文中宋" w:hAnsi="华文中宋" w:eastAsia="华文中宋"/>
          <w:sz w:val="48"/>
          <w:szCs w:val="48"/>
        </w:rPr>
      </w:pPr>
    </w:p>
    <w:p>
      <w:pPr>
        <w:jc w:val="center"/>
        <w:rPr>
          <w:rFonts w:ascii="华文中宋" w:hAnsi="华文中宋" w:eastAsia="华文中宋"/>
          <w:b/>
          <w:spacing w:val="60"/>
          <w:sz w:val="52"/>
          <w:szCs w:val="52"/>
        </w:rPr>
      </w:pPr>
      <w:r>
        <w:rPr>
          <w:rFonts w:hint="eastAsia" w:ascii="华文中宋" w:hAnsi="华文中宋" w:eastAsia="华文中宋"/>
          <w:b/>
          <w:spacing w:val="60"/>
          <w:sz w:val="52"/>
          <w:szCs w:val="52"/>
        </w:rPr>
        <w:t>(</w:t>
      </w:r>
      <w:r>
        <w:rPr>
          <w:rFonts w:hint="eastAsia" w:ascii="宋体" w:hAnsi="宋体" w:cs="宋体"/>
          <w:b/>
          <w:spacing w:val="60"/>
          <w:sz w:val="52"/>
          <w:szCs w:val="52"/>
        </w:rPr>
        <w:t>项</w:t>
      </w:r>
      <w:r>
        <w:rPr>
          <w:rFonts w:hint="eastAsia" w:ascii="Dotum" w:hAnsi="Dotum" w:eastAsia="Dotum" w:cs="Dotum"/>
          <w:b/>
          <w:spacing w:val="60"/>
          <w:sz w:val="52"/>
          <w:szCs w:val="52"/>
        </w:rPr>
        <w:t>目名</w:t>
      </w:r>
      <w:r>
        <w:rPr>
          <w:rFonts w:hint="eastAsia" w:ascii="宋体" w:hAnsi="宋体" w:cs="宋体"/>
          <w:b/>
          <w:spacing w:val="60"/>
          <w:sz w:val="52"/>
          <w:szCs w:val="52"/>
        </w:rPr>
        <w:t>称</w:t>
      </w:r>
      <w:r>
        <w:rPr>
          <w:rFonts w:hint="eastAsia" w:ascii="华文中宋" w:hAnsi="华文中宋" w:eastAsia="华文中宋"/>
          <w:b/>
          <w:spacing w:val="60"/>
          <w:sz w:val="52"/>
          <w:szCs w:val="52"/>
        </w:rPr>
        <w:t>)</w:t>
      </w:r>
      <w:r>
        <w:rPr>
          <w:rFonts w:hint="eastAsia" w:ascii="宋体" w:hAnsi="宋体" w:cs="宋体"/>
          <w:b/>
          <w:spacing w:val="60"/>
          <w:sz w:val="52"/>
          <w:szCs w:val="52"/>
        </w:rPr>
        <w:t>项</w:t>
      </w:r>
      <w:r>
        <w:rPr>
          <w:rFonts w:hint="eastAsia" w:ascii="Dotum" w:hAnsi="Dotum" w:eastAsia="Dotum" w:cs="Dotum"/>
          <w:b/>
          <w:spacing w:val="60"/>
          <w:sz w:val="52"/>
          <w:szCs w:val="52"/>
        </w:rPr>
        <w:t>目</w:t>
      </w:r>
    </w:p>
    <w:p>
      <w:pPr>
        <w:rPr>
          <w:rFonts w:ascii="华文中宋" w:hAnsi="华文中宋" w:eastAsia="华文中宋"/>
          <w:sz w:val="30"/>
          <w:szCs w:val="30"/>
        </w:rPr>
      </w:pPr>
    </w:p>
    <w:p>
      <w:pPr>
        <w:ind w:firstLine="1190" w:firstLineChars="350"/>
        <w:rPr>
          <w:rFonts w:ascii="华文中宋" w:hAnsi="华文中宋" w:eastAsia="华文中宋"/>
          <w:spacing w:val="20"/>
          <w:sz w:val="30"/>
          <w:szCs w:val="30"/>
        </w:rPr>
      </w:pPr>
      <w:r>
        <w:rPr>
          <w:rFonts w:hint="eastAsia" w:ascii="宋体" w:hAnsi="宋体" w:cs="宋体"/>
          <w:spacing w:val="20"/>
          <w:sz w:val="30"/>
          <w:szCs w:val="30"/>
        </w:rPr>
        <w:t>项</w:t>
      </w:r>
      <w:r>
        <w:rPr>
          <w:rFonts w:hint="eastAsia" w:ascii="Dotum" w:hAnsi="Dotum" w:eastAsia="Dotum" w:cs="Dotum"/>
          <w:spacing w:val="20"/>
          <w:sz w:val="30"/>
          <w:szCs w:val="30"/>
        </w:rPr>
        <w:t>目</w:t>
      </w:r>
      <w:r>
        <w:rPr>
          <w:rFonts w:hint="eastAsia" w:ascii="宋体" w:hAnsi="宋体" w:cs="宋体"/>
          <w:spacing w:val="20"/>
          <w:sz w:val="30"/>
          <w:szCs w:val="30"/>
        </w:rPr>
        <w:t>编号</w:t>
      </w:r>
      <w:r>
        <w:rPr>
          <w:rFonts w:hint="eastAsia" w:ascii="Dotum" w:hAnsi="Dotum" w:eastAsia="Dotum" w:cs="Dotum"/>
          <w:spacing w:val="20"/>
          <w:sz w:val="30"/>
          <w:szCs w:val="30"/>
        </w:rPr>
        <w:t>：</w:t>
      </w:r>
    </w:p>
    <w:p>
      <w:pPr>
        <w:ind w:firstLine="1190" w:firstLineChars="350"/>
        <w:rPr>
          <w:rFonts w:ascii="华文中宋" w:hAnsi="华文中宋" w:eastAsia="华文中宋"/>
          <w:spacing w:val="20"/>
          <w:sz w:val="30"/>
          <w:szCs w:val="30"/>
        </w:rPr>
      </w:pPr>
      <w:r>
        <w:rPr>
          <w:rFonts w:hint="eastAsia" w:ascii="华文中宋" w:hAnsi="华文中宋" w:eastAsia="华文中宋"/>
          <w:spacing w:val="20"/>
          <w:sz w:val="30"/>
          <w:szCs w:val="30"/>
        </w:rPr>
        <w:t xml:space="preserve">包   </w:t>
      </w:r>
      <w:r>
        <w:rPr>
          <w:rFonts w:hint="eastAsia" w:ascii="宋体" w:hAnsi="宋体" w:cs="宋体"/>
          <w:spacing w:val="20"/>
          <w:sz w:val="30"/>
          <w:szCs w:val="30"/>
        </w:rPr>
        <w:t>号</w:t>
      </w:r>
      <w:r>
        <w:rPr>
          <w:rFonts w:hint="eastAsia" w:ascii="Dotum" w:hAnsi="Dotum" w:eastAsia="Dotum" w:cs="Dotum"/>
          <w:spacing w:val="20"/>
          <w:sz w:val="30"/>
          <w:szCs w:val="30"/>
        </w:rPr>
        <w:t>：</w:t>
      </w:r>
    </w:p>
    <w:p>
      <w:pPr>
        <w:ind w:firstLine="1190" w:firstLineChars="350"/>
        <w:rPr>
          <w:rFonts w:ascii="华文中宋" w:hAnsi="华文中宋" w:eastAsia="华文中宋"/>
          <w:spacing w:val="20"/>
          <w:sz w:val="30"/>
          <w:szCs w:val="30"/>
        </w:rPr>
      </w:pPr>
    </w:p>
    <w:p>
      <w:pPr>
        <w:jc w:val="center"/>
        <w:rPr>
          <w:rFonts w:ascii="宋体"/>
          <w:b/>
          <w:spacing w:val="20"/>
          <w:sz w:val="84"/>
          <w:szCs w:val="84"/>
        </w:rPr>
      </w:pPr>
      <w:r>
        <w:rPr>
          <w:rFonts w:hint="eastAsia" w:ascii="宋体" w:hAnsi="宋体"/>
          <w:b/>
          <w:spacing w:val="20"/>
          <w:sz w:val="84"/>
          <w:szCs w:val="84"/>
        </w:rPr>
        <w:t>投</w:t>
      </w:r>
    </w:p>
    <w:p>
      <w:pPr>
        <w:jc w:val="center"/>
        <w:rPr>
          <w:rFonts w:ascii="华文中宋" w:hAnsi="华文中宋" w:eastAsia="华文中宋"/>
          <w:b/>
          <w:spacing w:val="20"/>
          <w:sz w:val="84"/>
          <w:szCs w:val="84"/>
        </w:rPr>
      </w:pPr>
      <w:r>
        <w:rPr>
          <w:rFonts w:hint="eastAsia" w:ascii="宋体" w:hAnsi="宋体" w:cs="宋体"/>
          <w:b/>
          <w:spacing w:val="20"/>
          <w:sz w:val="84"/>
          <w:szCs w:val="84"/>
        </w:rPr>
        <w:t>标</w:t>
      </w:r>
    </w:p>
    <w:p>
      <w:pPr>
        <w:jc w:val="center"/>
        <w:rPr>
          <w:rFonts w:ascii="宋体"/>
          <w:b/>
          <w:spacing w:val="20"/>
          <w:sz w:val="84"/>
          <w:szCs w:val="84"/>
        </w:rPr>
      </w:pPr>
      <w:r>
        <w:rPr>
          <w:rFonts w:hint="eastAsia" w:ascii="宋体" w:hAnsi="宋体"/>
          <w:b/>
          <w:spacing w:val="20"/>
          <w:sz w:val="84"/>
          <w:szCs w:val="84"/>
        </w:rPr>
        <w:t>文</w:t>
      </w:r>
    </w:p>
    <w:p>
      <w:pPr>
        <w:jc w:val="center"/>
        <w:rPr>
          <w:rFonts w:ascii="宋体"/>
          <w:b/>
          <w:sz w:val="84"/>
          <w:szCs w:val="84"/>
        </w:rPr>
      </w:pPr>
      <w:r>
        <w:rPr>
          <w:rFonts w:hint="eastAsia" w:ascii="宋体" w:hAnsi="宋体"/>
          <w:b/>
          <w:spacing w:val="20"/>
          <w:sz w:val="84"/>
          <w:szCs w:val="84"/>
        </w:rPr>
        <w:t>件</w:t>
      </w:r>
    </w:p>
    <w:p>
      <w:pPr>
        <w:ind w:firstLine="2520" w:firstLineChars="700"/>
        <w:rPr>
          <w:rFonts w:ascii="华文中宋" w:hAnsi="华文中宋" w:eastAsia="华文中宋"/>
          <w:spacing w:val="20"/>
          <w:sz w:val="32"/>
          <w:szCs w:val="32"/>
        </w:rPr>
      </w:pPr>
      <w:r>
        <w:rPr>
          <w:rFonts w:hint="eastAsia" w:ascii="华文中宋" w:hAnsi="华文中宋" w:eastAsia="华文中宋"/>
          <w:spacing w:val="20"/>
          <w:sz w:val="32"/>
          <w:szCs w:val="32"/>
        </w:rPr>
        <w:t>（资格审查文件或符合性审查文件）</w:t>
      </w:r>
    </w:p>
    <w:p>
      <w:pPr>
        <w:jc w:val="center"/>
        <w:rPr>
          <w:rFonts w:ascii="华文中宋" w:hAnsi="华文中宋" w:eastAsia="华文中宋"/>
          <w:spacing w:val="20"/>
          <w:sz w:val="32"/>
          <w:szCs w:val="32"/>
        </w:rPr>
      </w:pPr>
    </w:p>
    <w:p>
      <w:pPr>
        <w:jc w:val="center"/>
        <w:rPr>
          <w:rFonts w:ascii="Arial" w:hAnsi="Arial" w:cs="Arial"/>
          <w:kern w:val="0"/>
          <w:sz w:val="32"/>
          <w:szCs w:val="32"/>
        </w:rPr>
      </w:pPr>
      <w:r>
        <w:rPr>
          <w:rFonts w:hint="eastAsia" w:ascii="Arial" w:hAnsi="Arial" w:cs="Arial"/>
          <w:kern w:val="0"/>
          <w:sz w:val="32"/>
          <w:szCs w:val="32"/>
          <w:lang w:eastAsia="zh-CN"/>
        </w:rPr>
        <w:t>投标人</w:t>
      </w:r>
      <w:r>
        <w:rPr>
          <w:rFonts w:hint="eastAsia" w:ascii="Arial" w:hAnsi="Arial" w:cs="Arial"/>
          <w:kern w:val="0"/>
          <w:sz w:val="32"/>
          <w:szCs w:val="32"/>
        </w:rPr>
        <w:t>单位名称：（加盖公章）</w:t>
      </w:r>
    </w:p>
    <w:p>
      <w:pPr>
        <w:jc w:val="center"/>
        <w:rPr>
          <w:rFonts w:ascii="Arial" w:hAnsi="Arial" w:cs="Arial"/>
          <w:kern w:val="0"/>
          <w:sz w:val="32"/>
          <w:szCs w:val="32"/>
        </w:rPr>
      </w:pPr>
      <w:r>
        <w:rPr>
          <w:rFonts w:hint="eastAsia" w:ascii="Arial" w:hAnsi="Arial" w:cs="Arial"/>
          <w:kern w:val="0"/>
          <w:sz w:val="32"/>
          <w:szCs w:val="32"/>
        </w:rPr>
        <w:t>二〇</w:t>
      </w:r>
      <w:r>
        <w:rPr>
          <w:rFonts w:hint="eastAsia" w:ascii="Arial" w:hAnsi="Arial" w:cs="Arial"/>
          <w:kern w:val="0"/>
          <w:sz w:val="32"/>
          <w:szCs w:val="32"/>
          <w:lang w:eastAsia="zh-CN"/>
        </w:rPr>
        <w:t>二</w:t>
      </w:r>
      <w:r>
        <w:rPr>
          <w:rFonts w:hint="eastAsia" w:ascii="Arial" w:hAnsi="Arial" w:cs="Arial"/>
          <w:kern w:val="0"/>
          <w:sz w:val="32"/>
          <w:szCs w:val="32"/>
          <w:lang w:val="en-US" w:eastAsia="zh-CN"/>
        </w:rPr>
        <w:t xml:space="preserve">  </w:t>
      </w:r>
      <w:r>
        <w:rPr>
          <w:rFonts w:hint="eastAsia" w:ascii="Arial" w:hAnsi="Arial" w:cs="Arial"/>
          <w:kern w:val="0"/>
          <w:sz w:val="32"/>
          <w:szCs w:val="32"/>
        </w:rPr>
        <w:t>年</w:t>
      </w:r>
      <w:r>
        <w:rPr>
          <w:rFonts w:hint="eastAsia" w:ascii="Arial" w:hAnsi="Arial" w:cs="Arial"/>
          <w:kern w:val="0"/>
          <w:sz w:val="32"/>
          <w:szCs w:val="32"/>
          <w:lang w:val="en-US" w:eastAsia="zh-CN"/>
        </w:rPr>
        <w:t xml:space="preserve">  </w:t>
      </w:r>
      <w:r>
        <w:rPr>
          <w:rFonts w:hint="eastAsia" w:ascii="Arial" w:hAnsi="Arial" w:cs="Arial"/>
          <w:kern w:val="0"/>
          <w:sz w:val="32"/>
          <w:szCs w:val="32"/>
        </w:rPr>
        <w:t>月</w:t>
      </w:r>
      <w:r>
        <w:rPr>
          <w:rFonts w:hint="eastAsia" w:ascii="Arial" w:hAnsi="Arial" w:cs="Arial"/>
          <w:kern w:val="0"/>
          <w:sz w:val="32"/>
          <w:szCs w:val="32"/>
          <w:lang w:val="en-US" w:eastAsia="zh-CN"/>
        </w:rPr>
        <w:t xml:space="preserve">  </w:t>
      </w:r>
      <w:r>
        <w:rPr>
          <w:rFonts w:hint="eastAsia" w:ascii="Arial" w:hAnsi="Arial" w:cs="Arial"/>
          <w:kern w:val="0"/>
          <w:sz w:val="32"/>
          <w:szCs w:val="32"/>
        </w:rPr>
        <w:t>日</w:t>
      </w:r>
    </w:p>
    <w:p>
      <w:pPr>
        <w:jc w:val="center"/>
        <w:rPr>
          <w:rFonts w:hint="eastAsia" w:ascii="Arial" w:hAnsi="Arial" w:cs="Arial"/>
          <w:kern w:val="0"/>
          <w:szCs w:val="21"/>
        </w:rPr>
      </w:pPr>
    </w:p>
    <w:p>
      <w:pPr>
        <w:jc w:val="center"/>
        <w:rPr>
          <w:rFonts w:hint="eastAsia" w:ascii="Arial" w:hAnsi="Arial" w:cs="Arial"/>
          <w:kern w:val="0"/>
          <w:szCs w:val="21"/>
        </w:rPr>
      </w:pPr>
    </w:p>
    <w:p>
      <w:pPr>
        <w:jc w:val="both"/>
        <w:rPr>
          <w:rFonts w:hint="eastAsia" w:ascii="Arial" w:hAnsi="Arial" w:cs="Arial"/>
          <w:kern w:val="0"/>
          <w:szCs w:val="21"/>
        </w:rPr>
      </w:pPr>
    </w:p>
    <w:p>
      <w:pPr>
        <w:jc w:val="center"/>
        <w:rPr>
          <w:rFonts w:hint="eastAsia" w:ascii="Arial" w:hAnsi="Arial" w:cs="Arial"/>
          <w:kern w:val="0"/>
          <w:sz w:val="24"/>
          <w:szCs w:val="24"/>
        </w:rPr>
      </w:pPr>
    </w:p>
    <w:p>
      <w:pPr>
        <w:jc w:val="center"/>
        <w:rPr>
          <w:rFonts w:hint="eastAsia"/>
        </w:rPr>
      </w:pPr>
      <w:r>
        <w:rPr>
          <w:rFonts w:hint="eastAsia" w:ascii="Arial" w:hAnsi="Arial" w:cs="Arial"/>
          <w:kern w:val="0"/>
          <w:sz w:val="24"/>
          <w:szCs w:val="24"/>
        </w:rPr>
        <w:t>资格审查文件</w:t>
      </w:r>
    </w:p>
    <w:p>
      <w:pPr>
        <w:jc w:val="center"/>
        <w:rPr>
          <w:rFonts w:ascii="Arial" w:hAnsi="Arial" w:cs="Arial"/>
          <w:kern w:val="0"/>
          <w:sz w:val="24"/>
          <w:szCs w:val="24"/>
        </w:rPr>
      </w:pPr>
      <w:r>
        <w:rPr>
          <w:rFonts w:hint="eastAsia" w:ascii="Arial" w:hAnsi="Arial" w:cs="Arial"/>
          <w:kern w:val="0"/>
          <w:sz w:val="24"/>
          <w:szCs w:val="24"/>
        </w:rPr>
        <w:t>目录</w:t>
      </w:r>
    </w:p>
    <w:p>
      <w:pPr>
        <w:jc w:val="center"/>
        <w:rPr>
          <w:rFonts w:ascii="Arial" w:hAnsi="Arial" w:cs="Arial"/>
          <w:kern w:val="0"/>
          <w:szCs w:val="21"/>
        </w:rPr>
      </w:pPr>
    </w:p>
    <w:p>
      <w:pPr>
        <w:pStyle w:val="33"/>
        <w:snapToGrid w:val="0"/>
        <w:spacing w:line="480" w:lineRule="auto"/>
        <w:rPr>
          <w:rFonts w:hint="eastAsia" w:ascii="宋体" w:hAnsi="宋体" w:eastAsia="宋体" w:cs="宋体"/>
        </w:rPr>
      </w:pPr>
      <w:bookmarkStart w:id="24" w:name="_Toc5594_WPSOffice_Level2"/>
      <w:r>
        <w:rPr>
          <w:rFonts w:hint="eastAsia" w:ascii="宋体" w:hAnsi="宋体" w:eastAsia="宋体" w:cs="宋体"/>
        </w:rPr>
        <w:t>1、</w:t>
      </w:r>
      <w:r>
        <w:rPr>
          <w:rFonts w:hint="eastAsia" w:hAnsi="宋体" w:cs="宋体"/>
          <w:lang w:eastAsia="zh-CN"/>
        </w:rPr>
        <w:t>投标人</w:t>
      </w:r>
      <w:r>
        <w:rPr>
          <w:rFonts w:hint="eastAsia" w:ascii="宋体" w:hAnsi="宋体" w:eastAsia="宋体" w:cs="宋体"/>
        </w:rPr>
        <w:t>代表的证明…………………………………………………………页码</w:t>
      </w:r>
      <w:bookmarkEnd w:id="24"/>
    </w:p>
    <w:p>
      <w:pPr>
        <w:pageBreakBefore w:val="0"/>
        <w:kinsoku/>
        <w:bidi w:val="0"/>
        <w:spacing w:line="360" w:lineRule="auto"/>
        <w:rPr>
          <w:rFonts w:hint="eastAsia" w:ascii="宋体" w:hAnsi="宋体" w:eastAsia="宋体" w:cs="宋体"/>
          <w:kern w:val="0"/>
        </w:rPr>
      </w:pPr>
      <w:bookmarkStart w:id="25" w:name="_Toc5696_WPSOffice_Level2"/>
      <w:r>
        <w:rPr>
          <w:rFonts w:hint="eastAsia" w:ascii="宋体" w:hAnsi="宋体" w:eastAsia="宋体" w:cs="宋体"/>
        </w:rPr>
        <w:t>2、</w:t>
      </w:r>
      <w:bookmarkEnd w:id="25"/>
      <w:r>
        <w:rPr>
          <w:rFonts w:hint="eastAsia" w:ascii="宋体" w:hAnsi="宋体" w:eastAsia="宋体" w:cs="宋体"/>
          <w:color w:val="auto"/>
          <w:highlight w:val="none"/>
        </w:rPr>
        <w:t>《政府集中采购供应商信用承诺书》</w:t>
      </w:r>
      <w:r>
        <w:rPr>
          <w:rFonts w:hint="eastAsia" w:ascii="宋体" w:hAnsi="宋体" w:eastAsia="宋体" w:cs="宋体"/>
          <w:color w:val="auto"/>
          <w:kern w:val="0"/>
          <w:highlight w:val="none"/>
        </w:rPr>
        <w:t>…………………………</w:t>
      </w:r>
    </w:p>
    <w:p>
      <w:pPr>
        <w:pageBreakBefore w:val="0"/>
        <w:kinsoku/>
        <w:bidi w:val="0"/>
        <w:spacing w:line="360" w:lineRule="auto"/>
        <w:rPr>
          <w:rFonts w:hint="eastAsia" w:ascii="宋体" w:hAnsi="宋体" w:eastAsia="宋体" w:cs="宋体"/>
          <w:color w:val="auto"/>
          <w:highlight w:val="none"/>
          <w:lang w:eastAsia="zh-CN"/>
        </w:rPr>
      </w:pPr>
      <w:bookmarkStart w:id="26" w:name="_Toc19055_WPSOffice_Level2"/>
      <w:r>
        <w:rPr>
          <w:rFonts w:hint="eastAsia" w:ascii="宋体" w:hAnsi="宋体" w:cs="宋体"/>
          <w:kern w:val="0"/>
          <w:lang w:val="en-US" w:eastAsia="zh-CN"/>
        </w:rPr>
        <w:t>3</w:t>
      </w:r>
      <w:r>
        <w:rPr>
          <w:rFonts w:hint="eastAsia" w:ascii="宋体" w:hAnsi="宋体" w:eastAsia="宋体" w:cs="宋体"/>
          <w:kern w:val="0"/>
        </w:rPr>
        <w:t>、</w:t>
      </w:r>
      <w:bookmarkEnd w:id="26"/>
      <w:r>
        <w:rPr>
          <w:rFonts w:hint="eastAsia" w:ascii="宋体" w:hAnsi="宋体" w:cs="宋体"/>
          <w:color w:val="auto"/>
          <w:highlight w:val="none"/>
          <w:lang w:eastAsia="zh-CN"/>
        </w:rPr>
        <w:t>中小企业声明函</w:t>
      </w:r>
      <w:r>
        <w:rPr>
          <w:rFonts w:hint="eastAsia" w:ascii="宋体" w:hAnsi="宋体" w:eastAsia="宋体" w:cs="宋体"/>
          <w:color w:val="auto"/>
          <w:kern w:val="0"/>
          <w:highlight w:val="none"/>
        </w:rPr>
        <w:t>………………………………………………………………………………</w:t>
      </w:r>
    </w:p>
    <w:p>
      <w:pPr>
        <w:pageBreakBefore w:val="0"/>
        <w:kinsoku/>
        <w:bidi w:val="0"/>
        <w:spacing w:line="360" w:lineRule="auto"/>
        <w:ind w:left="315" w:hanging="315" w:hangingChars="150"/>
        <w:rPr>
          <w:rFonts w:hint="eastAsia" w:ascii="宋体" w:hAnsi="宋体" w:eastAsia="宋体" w:cs="宋体"/>
          <w:kern w:val="0"/>
          <w:lang w:val="en-US" w:eastAsia="zh-CN"/>
        </w:rPr>
      </w:pPr>
      <w:r>
        <w:rPr>
          <w:rFonts w:hint="eastAsia" w:ascii="宋体" w:hAnsi="宋体" w:cs="宋体"/>
          <w:kern w:val="0"/>
          <w:lang w:val="en-US" w:eastAsia="zh-CN"/>
        </w:rPr>
        <w:t>4、</w:t>
      </w:r>
      <w:r>
        <w:rPr>
          <w:rFonts w:hint="eastAsia" w:ascii="宋体" w:hAnsi="宋体" w:eastAsia="宋体" w:cs="宋体"/>
          <w:b w:val="0"/>
          <w:bCs w:val="0"/>
          <w:color w:val="auto"/>
          <w:szCs w:val="21"/>
          <w:highlight w:val="none"/>
          <w:lang w:eastAsia="zh-CN"/>
        </w:rPr>
        <w:t>基本存款账户信息</w:t>
      </w:r>
      <w:r>
        <w:rPr>
          <w:rFonts w:hint="eastAsia" w:ascii="宋体" w:hAnsi="宋体" w:eastAsia="宋体" w:cs="宋体"/>
          <w:color w:val="auto"/>
          <w:szCs w:val="21"/>
          <w:highlight w:val="none"/>
          <w:lang w:eastAsia="zh-CN"/>
        </w:rPr>
        <w:t>复印件</w:t>
      </w:r>
      <w:r>
        <w:rPr>
          <w:rFonts w:hint="eastAsia" w:ascii="宋体" w:hAnsi="宋体" w:eastAsia="宋体" w:cs="宋体"/>
          <w:color w:val="auto"/>
          <w:kern w:val="0"/>
          <w:highlight w:val="none"/>
          <w:lang w:bidi="ar"/>
        </w:rPr>
        <w:t>……………</w:t>
      </w:r>
      <w:r>
        <w:rPr>
          <w:rFonts w:hint="eastAsia" w:ascii="宋体" w:hAnsi="宋体" w:eastAsia="宋体" w:cs="宋体"/>
          <w:color w:val="auto"/>
          <w:kern w:val="0"/>
          <w:highlight w:val="none"/>
        </w:rPr>
        <w:t>…………………………………………………………</w:t>
      </w:r>
    </w:p>
    <w:p>
      <w:pPr>
        <w:spacing w:line="400" w:lineRule="exact"/>
        <w:rPr>
          <w:rFonts w:hint="eastAsia" w:ascii="宋体" w:hAnsi="宋体" w:eastAsia="宋体" w:cs="宋体"/>
          <w:kern w:val="0"/>
        </w:rPr>
      </w:pPr>
      <w:bookmarkStart w:id="27" w:name="_Toc12470_WPSOffice_Level2"/>
      <w:r>
        <w:rPr>
          <w:rFonts w:hint="eastAsia" w:ascii="宋体" w:hAnsi="宋体" w:cs="宋体"/>
          <w:lang w:val="en-US" w:eastAsia="zh-CN"/>
        </w:rPr>
        <w:t>5</w:t>
      </w:r>
      <w:r>
        <w:rPr>
          <w:rFonts w:hint="eastAsia" w:ascii="宋体" w:hAnsi="宋体" w:eastAsia="宋体" w:cs="宋体"/>
        </w:rPr>
        <w:t>、</w:t>
      </w:r>
      <w:bookmarkEnd w:id="27"/>
      <w:r>
        <w:rPr>
          <w:rFonts w:hint="eastAsia" w:ascii="宋体" w:hAnsi="宋体" w:cs="宋体"/>
          <w:b w:val="0"/>
          <w:bCs w:val="0"/>
          <w:sz w:val="21"/>
          <w:szCs w:val="21"/>
          <w:lang w:eastAsia="zh-CN"/>
        </w:rPr>
        <w:t>招标</w:t>
      </w:r>
      <w:r>
        <w:rPr>
          <w:rFonts w:hint="eastAsia" w:ascii="宋体" w:hAnsi="宋体" w:eastAsia="宋体" w:cs="宋体"/>
          <w:b w:val="0"/>
          <w:bCs w:val="0"/>
          <w:sz w:val="21"/>
          <w:szCs w:val="21"/>
        </w:rPr>
        <w:t>文件要求</w:t>
      </w:r>
      <w:r>
        <w:rPr>
          <w:rFonts w:hint="eastAsia" w:ascii="宋体" w:hAnsi="宋体" w:eastAsia="宋体" w:cs="宋体"/>
          <w:b w:val="0"/>
          <w:bCs w:val="0"/>
          <w:sz w:val="21"/>
          <w:szCs w:val="21"/>
          <w:lang w:eastAsia="zh-CN"/>
        </w:rPr>
        <w:t>或</w:t>
      </w:r>
      <w:r>
        <w:rPr>
          <w:rFonts w:hint="eastAsia" w:ascii="宋体" w:hAnsi="宋体" w:cs="宋体"/>
          <w:b w:val="0"/>
          <w:bCs w:val="0"/>
          <w:sz w:val="21"/>
          <w:szCs w:val="21"/>
          <w:lang w:eastAsia="zh-CN"/>
        </w:rPr>
        <w:t>投标人</w:t>
      </w:r>
      <w:r>
        <w:rPr>
          <w:rFonts w:hint="eastAsia" w:ascii="宋体" w:hAnsi="宋体" w:eastAsia="宋体" w:cs="宋体"/>
          <w:b w:val="0"/>
          <w:bCs w:val="0"/>
          <w:sz w:val="21"/>
          <w:szCs w:val="21"/>
        </w:rPr>
        <w:t>认为需要提供的其他资格证明文件</w:t>
      </w:r>
      <w:r>
        <w:rPr>
          <w:rFonts w:hint="eastAsia" w:ascii="宋体" w:hAnsi="宋体" w:eastAsia="宋体" w:cs="宋体"/>
          <w:kern w:val="0"/>
        </w:rPr>
        <w:t>…………………………………</w:t>
      </w:r>
    </w:p>
    <w:p>
      <w:pPr>
        <w:rPr>
          <w:rFonts w:ascii="Arial" w:hAnsi="Arial" w:cs="Arial"/>
          <w:kern w:val="0"/>
          <w:szCs w:val="21"/>
        </w:rPr>
      </w:pPr>
    </w:p>
    <w:p>
      <w:pPr>
        <w:pageBreakBefore/>
        <w:jc w:val="center"/>
        <w:rPr>
          <w:rFonts w:ascii="Arial" w:hAnsi="Arial" w:cs="Arial"/>
          <w:b/>
          <w:kern w:val="0"/>
          <w:szCs w:val="21"/>
        </w:rPr>
      </w:pPr>
      <w:r>
        <w:rPr>
          <w:rFonts w:hint="eastAsia" w:ascii="Arial" w:hAnsi="Arial" w:cs="Arial"/>
          <w:b/>
          <w:kern w:val="0"/>
          <w:szCs w:val="21"/>
        </w:rPr>
        <w:t>资格审查文件格式内容</w:t>
      </w:r>
    </w:p>
    <w:p>
      <w:pPr>
        <w:rPr>
          <w:rFonts w:ascii="Arial" w:hAnsi="Arial" w:cs="Arial"/>
          <w:kern w:val="0"/>
          <w:szCs w:val="21"/>
        </w:rPr>
      </w:pPr>
    </w:p>
    <w:p>
      <w:pPr>
        <w:snapToGrid w:val="0"/>
        <w:ind w:left="422" w:hanging="422" w:hangingChars="200"/>
        <w:rPr>
          <w:rFonts w:ascii="Arial" w:hAnsi="Arial" w:cs="Arial"/>
          <w:b/>
          <w:kern w:val="0"/>
          <w:szCs w:val="21"/>
        </w:rPr>
      </w:pPr>
      <w:r>
        <w:rPr>
          <w:rFonts w:hint="eastAsia" w:ascii="Arial" w:hAnsi="Arial" w:cs="Arial"/>
          <w:b/>
          <w:kern w:val="0"/>
          <w:szCs w:val="21"/>
        </w:rPr>
        <w:t>（一）法定代表人身份证明书</w:t>
      </w:r>
    </w:p>
    <w:p>
      <w:pPr>
        <w:snapToGrid w:val="0"/>
        <w:ind w:left="420" w:hanging="420" w:hangingChars="200"/>
        <w:rPr>
          <w:rFonts w:ascii="Arial" w:hAnsi="Arial" w:cs="Arial"/>
          <w:kern w:val="0"/>
          <w:szCs w:val="21"/>
        </w:rPr>
      </w:pPr>
    </w:p>
    <w:p>
      <w:pPr>
        <w:snapToGrid w:val="0"/>
        <w:ind w:left="422" w:hanging="422" w:hangingChars="200"/>
        <w:jc w:val="center"/>
        <w:rPr>
          <w:rFonts w:ascii="Arial" w:hAnsi="Arial" w:cs="Arial"/>
          <w:b/>
          <w:kern w:val="0"/>
          <w:szCs w:val="21"/>
        </w:rPr>
      </w:pPr>
      <w:r>
        <w:rPr>
          <w:rFonts w:hint="eastAsia" w:ascii="Arial" w:hAnsi="Arial" w:cs="Arial"/>
          <w:b/>
          <w:kern w:val="0"/>
          <w:szCs w:val="21"/>
        </w:rPr>
        <w:t>法定代表人身份证明书</w:t>
      </w:r>
    </w:p>
    <w:p>
      <w:pPr>
        <w:spacing w:line="400" w:lineRule="exact"/>
        <w:ind w:firstLine="570"/>
        <w:jc w:val="center"/>
        <w:rPr>
          <w:rFonts w:ascii="Arial" w:hAnsi="Arial" w:cs="Arial"/>
          <w:kern w:val="0"/>
          <w:szCs w:val="21"/>
        </w:rPr>
      </w:pPr>
    </w:p>
    <w:p>
      <w:pPr>
        <w:spacing w:line="480" w:lineRule="exact"/>
        <w:rPr>
          <w:rFonts w:ascii="Arial" w:hAnsi="Arial" w:cs="Arial"/>
          <w:kern w:val="0"/>
          <w:szCs w:val="21"/>
        </w:rPr>
      </w:pPr>
      <w:r>
        <w:rPr>
          <w:rFonts w:hint="eastAsia" w:ascii="Arial" w:hAnsi="Arial" w:cs="Arial"/>
          <w:kern w:val="0"/>
          <w:szCs w:val="21"/>
        </w:rPr>
        <w:t>单位名称：</w:t>
      </w:r>
    </w:p>
    <w:p>
      <w:pPr>
        <w:spacing w:line="480" w:lineRule="exact"/>
        <w:rPr>
          <w:rFonts w:ascii="Arial" w:hAnsi="Arial" w:cs="Arial"/>
          <w:kern w:val="0"/>
          <w:szCs w:val="21"/>
        </w:rPr>
      </w:pPr>
      <w:r>
        <w:rPr>
          <w:rFonts w:hint="eastAsia" w:ascii="Arial" w:hAnsi="Arial" w:cs="Arial"/>
          <w:kern w:val="0"/>
          <w:szCs w:val="21"/>
        </w:rPr>
        <w:t>单位性质：</w:t>
      </w:r>
    </w:p>
    <w:p>
      <w:pPr>
        <w:spacing w:line="480" w:lineRule="exact"/>
        <w:rPr>
          <w:rFonts w:ascii="Arial" w:hAnsi="Arial" w:cs="Arial"/>
          <w:kern w:val="0"/>
          <w:szCs w:val="21"/>
        </w:rPr>
      </w:pPr>
      <w:r>
        <w:rPr>
          <w:rFonts w:hint="eastAsia" w:ascii="Arial" w:hAnsi="Arial" w:cs="Arial"/>
          <w:kern w:val="0"/>
          <w:szCs w:val="21"/>
        </w:rPr>
        <w:t>地址：</w:t>
      </w:r>
    </w:p>
    <w:p>
      <w:pPr>
        <w:spacing w:line="480" w:lineRule="exact"/>
        <w:rPr>
          <w:rFonts w:ascii="Arial" w:hAnsi="Arial" w:cs="Arial"/>
          <w:kern w:val="0"/>
          <w:szCs w:val="21"/>
        </w:rPr>
      </w:pPr>
      <w:r>
        <w:rPr>
          <w:rFonts w:hint="eastAsia" w:ascii="Arial" w:hAnsi="Arial" w:cs="Arial"/>
          <w:kern w:val="0"/>
          <w:szCs w:val="21"/>
        </w:rPr>
        <w:t>成立时间：年月日</w:t>
      </w:r>
    </w:p>
    <w:p>
      <w:pPr>
        <w:spacing w:line="480" w:lineRule="exact"/>
        <w:rPr>
          <w:rFonts w:ascii="Arial" w:hAnsi="Arial" w:cs="Arial"/>
          <w:kern w:val="0"/>
          <w:szCs w:val="21"/>
        </w:rPr>
      </w:pPr>
      <w:r>
        <w:rPr>
          <w:rFonts w:hint="eastAsia" w:ascii="Arial" w:hAnsi="Arial" w:cs="Arial"/>
          <w:kern w:val="0"/>
          <w:szCs w:val="21"/>
        </w:rPr>
        <w:t>经营期限：</w:t>
      </w:r>
    </w:p>
    <w:p>
      <w:pPr>
        <w:spacing w:line="480" w:lineRule="exact"/>
        <w:rPr>
          <w:rFonts w:ascii="Arial" w:hAnsi="Arial" w:cs="Arial"/>
          <w:kern w:val="0"/>
          <w:szCs w:val="21"/>
        </w:rPr>
      </w:pPr>
      <w:r>
        <w:rPr>
          <w:rFonts w:hint="eastAsia" w:ascii="Arial" w:hAnsi="Arial" w:cs="Arial"/>
          <w:kern w:val="0"/>
          <w:szCs w:val="21"/>
        </w:rPr>
        <w:t>法人代表姓名：</w:t>
      </w:r>
      <w:r>
        <w:rPr>
          <w:rFonts w:hint="eastAsia" w:ascii="Arial" w:hAnsi="Arial" w:cs="Arial"/>
          <w:kern w:val="0"/>
          <w:szCs w:val="21"/>
          <w:lang w:val="en-US" w:eastAsia="zh-CN"/>
        </w:rPr>
        <w:t xml:space="preserve">                        </w:t>
      </w:r>
      <w:r>
        <w:rPr>
          <w:rFonts w:hint="eastAsia" w:ascii="Arial" w:hAnsi="Arial" w:cs="Arial"/>
          <w:kern w:val="0"/>
          <w:szCs w:val="21"/>
        </w:rPr>
        <w:t>性别：</w:t>
      </w:r>
    </w:p>
    <w:p>
      <w:pPr>
        <w:spacing w:line="480" w:lineRule="exact"/>
        <w:rPr>
          <w:rFonts w:ascii="Arial" w:hAnsi="Arial" w:cs="Arial"/>
          <w:kern w:val="0"/>
          <w:szCs w:val="21"/>
        </w:rPr>
      </w:pPr>
      <w:r>
        <w:rPr>
          <w:rFonts w:hint="eastAsia" w:ascii="Arial" w:hAnsi="Arial" w:cs="Arial"/>
          <w:kern w:val="0"/>
          <w:szCs w:val="21"/>
        </w:rPr>
        <w:t>身份证号：</w:t>
      </w:r>
      <w:r>
        <w:rPr>
          <w:rFonts w:hint="eastAsia" w:ascii="Arial" w:hAnsi="Arial" w:cs="Arial"/>
          <w:kern w:val="0"/>
          <w:szCs w:val="21"/>
          <w:lang w:val="en-US" w:eastAsia="zh-CN"/>
        </w:rPr>
        <w:t xml:space="preserve">                          </w:t>
      </w:r>
      <w:r>
        <w:rPr>
          <w:rFonts w:hint="eastAsia" w:ascii="Arial" w:hAnsi="Arial" w:cs="Arial"/>
          <w:kern w:val="0"/>
          <w:szCs w:val="21"/>
        </w:rPr>
        <w:t>职务：</w:t>
      </w:r>
    </w:p>
    <w:p>
      <w:pPr>
        <w:spacing w:line="480" w:lineRule="exact"/>
        <w:rPr>
          <w:rFonts w:ascii="Arial" w:hAnsi="Arial" w:cs="Arial"/>
          <w:kern w:val="0"/>
          <w:szCs w:val="21"/>
        </w:rPr>
      </w:pPr>
      <w:r>
        <w:rPr>
          <w:rFonts w:hint="eastAsia" w:ascii="Arial" w:hAnsi="Arial" w:cs="Arial"/>
          <w:kern w:val="0"/>
          <w:szCs w:val="21"/>
        </w:rPr>
        <w:t>系（投标人名称）的法定代表人。</w:t>
      </w:r>
    </w:p>
    <w:p>
      <w:pPr>
        <w:spacing w:line="480" w:lineRule="exact"/>
        <w:rPr>
          <w:rFonts w:ascii="Arial" w:hAnsi="Arial" w:cs="Arial"/>
          <w:kern w:val="0"/>
          <w:szCs w:val="21"/>
        </w:rPr>
      </w:pPr>
    </w:p>
    <w:p>
      <w:pPr>
        <w:spacing w:line="480" w:lineRule="exact"/>
        <w:ind w:firstLine="420" w:firstLineChars="200"/>
        <w:rPr>
          <w:rFonts w:ascii="Arial" w:hAnsi="Arial" w:cs="Arial"/>
          <w:kern w:val="0"/>
          <w:szCs w:val="21"/>
        </w:rPr>
      </w:pPr>
      <w:r>
        <w:rPr>
          <w:rFonts w:hint="eastAsia" w:ascii="Arial" w:hAnsi="Arial" w:cs="Arial"/>
          <w:kern w:val="0"/>
          <w:szCs w:val="21"/>
        </w:rPr>
        <w:t>特此证明。</w:t>
      </w:r>
    </w:p>
    <w:p>
      <w:pPr>
        <w:spacing w:line="480" w:lineRule="exact"/>
        <w:rPr>
          <w:rFonts w:ascii="Arial" w:hAnsi="Arial" w:cs="Arial"/>
          <w:kern w:val="0"/>
          <w:szCs w:val="21"/>
        </w:rPr>
      </w:pPr>
    </w:p>
    <w:p>
      <w:pPr>
        <w:tabs>
          <w:tab w:val="left" w:pos="4000"/>
        </w:tabs>
        <w:snapToGrid w:val="0"/>
        <w:spacing w:line="480" w:lineRule="exact"/>
        <w:rPr>
          <w:rFonts w:ascii="Arial" w:hAnsi="Arial" w:cs="Arial"/>
          <w:kern w:val="0"/>
          <w:szCs w:val="21"/>
        </w:rPr>
      </w:pPr>
      <w:r>
        <w:rPr>
          <w:rFonts w:ascii="Arial" w:hAnsi="Arial" w:cs="Arial"/>
          <w:kern w:val="0"/>
          <w:szCs w:val="21"/>
        </w:rPr>
        <w:tab/>
      </w:r>
      <w:r>
        <w:rPr>
          <w:rFonts w:hint="eastAsia" w:ascii="Arial" w:hAnsi="Arial" w:cs="Arial"/>
          <w:kern w:val="0"/>
          <w:szCs w:val="21"/>
        </w:rPr>
        <w:t>法人</w:t>
      </w:r>
      <w:r>
        <w:rPr>
          <w:rFonts w:ascii="Arial" w:hAnsi="Arial" w:cs="Arial"/>
          <w:kern w:val="0"/>
          <w:szCs w:val="21"/>
        </w:rPr>
        <w:t>(</w:t>
      </w:r>
      <w:r>
        <w:rPr>
          <w:rFonts w:hint="eastAsia" w:ascii="Arial" w:hAnsi="Arial" w:cs="Arial"/>
          <w:kern w:val="0"/>
          <w:szCs w:val="21"/>
        </w:rPr>
        <w:t>加盖公章</w:t>
      </w:r>
      <w:r>
        <w:rPr>
          <w:rFonts w:ascii="Arial" w:hAnsi="Arial" w:cs="Arial"/>
          <w:kern w:val="0"/>
          <w:szCs w:val="21"/>
        </w:rPr>
        <w:t>)</w:t>
      </w:r>
      <w:r>
        <w:rPr>
          <w:rFonts w:hint="eastAsia" w:ascii="Arial" w:hAnsi="Arial" w:cs="Arial"/>
          <w:kern w:val="0"/>
          <w:szCs w:val="21"/>
        </w:rPr>
        <w:t>：</w:t>
      </w:r>
    </w:p>
    <w:p>
      <w:pPr>
        <w:tabs>
          <w:tab w:val="left" w:pos="4000"/>
        </w:tabs>
        <w:snapToGrid w:val="0"/>
        <w:spacing w:line="480" w:lineRule="exact"/>
        <w:rPr>
          <w:rFonts w:ascii="Arial" w:hAnsi="Arial" w:cs="Arial"/>
          <w:kern w:val="0"/>
          <w:szCs w:val="21"/>
        </w:rPr>
      </w:pPr>
      <w:r>
        <w:rPr>
          <w:rFonts w:ascii="Arial" w:hAnsi="Arial" w:cs="Arial"/>
          <w:kern w:val="0"/>
          <w:szCs w:val="21"/>
        </w:rPr>
        <w:tab/>
      </w:r>
      <w:r>
        <w:rPr>
          <w:rFonts w:hint="eastAsia" w:ascii="Arial" w:hAnsi="Arial" w:cs="Arial"/>
          <w:kern w:val="0"/>
          <w:szCs w:val="21"/>
        </w:rPr>
        <w:t>日　期：</w:t>
      </w:r>
    </w:p>
    <w:p>
      <w:pPr>
        <w:spacing w:line="480" w:lineRule="exact"/>
        <w:rPr>
          <w:rFonts w:ascii="Arial" w:hAnsi="Arial" w:cs="Arial"/>
          <w:kern w:val="0"/>
          <w:szCs w:val="21"/>
        </w:rPr>
      </w:pPr>
    </w:p>
    <w:p>
      <w:pPr>
        <w:spacing w:line="480" w:lineRule="exact"/>
        <w:rPr>
          <w:rFonts w:ascii="Arial" w:hAnsi="Arial" w:cs="Arial"/>
          <w:kern w:val="0"/>
          <w:szCs w:val="21"/>
        </w:rPr>
      </w:pPr>
      <w:r>
        <w:rPr>
          <w:rFonts w:hint="eastAsia" w:ascii="Arial" w:hAnsi="Arial" w:cs="Arial"/>
          <w:kern w:val="0"/>
          <w:szCs w:val="21"/>
        </w:rPr>
        <w:t>附法定代表人有效的身份证正反两面复印件</w:t>
      </w:r>
    </w:p>
    <w:tbl>
      <w:tblPr>
        <w:tblStyle w:val="59"/>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5"/>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4" w:hRule="atLeast"/>
        </w:trPr>
        <w:tc>
          <w:tcPr>
            <w:tcW w:w="4615" w:type="dxa"/>
            <w:tcBorders>
              <w:top w:val="single" w:color="auto" w:sz="4" w:space="0"/>
              <w:left w:val="single" w:color="auto" w:sz="4" w:space="0"/>
              <w:bottom w:val="single" w:color="auto" w:sz="4" w:space="0"/>
              <w:right w:val="single" w:color="auto" w:sz="4" w:space="0"/>
            </w:tcBorders>
          </w:tcPr>
          <w:p>
            <w:pPr>
              <w:rPr>
                <w:rFonts w:ascii="Arial" w:hAnsi="Arial" w:cs="Arial"/>
                <w:kern w:val="0"/>
                <w:szCs w:val="21"/>
              </w:rPr>
            </w:pPr>
          </w:p>
        </w:tc>
        <w:tc>
          <w:tcPr>
            <w:tcW w:w="4615" w:type="dxa"/>
            <w:tcBorders>
              <w:top w:val="single" w:color="auto" w:sz="4" w:space="0"/>
              <w:left w:val="single" w:color="auto" w:sz="4" w:space="0"/>
              <w:bottom w:val="single" w:color="auto" w:sz="4" w:space="0"/>
              <w:right w:val="single" w:color="auto" w:sz="4" w:space="0"/>
            </w:tcBorders>
          </w:tcPr>
          <w:p>
            <w:pPr>
              <w:rPr>
                <w:rFonts w:ascii="Arial" w:hAnsi="Arial" w:cs="Arial"/>
                <w:kern w:val="0"/>
                <w:szCs w:val="21"/>
              </w:rPr>
            </w:pPr>
          </w:p>
        </w:tc>
      </w:tr>
    </w:tbl>
    <w:p>
      <w:pPr>
        <w:rPr>
          <w:rFonts w:ascii="Arial" w:hAnsi="Arial" w:cs="Arial"/>
          <w:kern w:val="0"/>
          <w:szCs w:val="21"/>
        </w:rPr>
      </w:pPr>
    </w:p>
    <w:p>
      <w:pPr>
        <w:rPr>
          <w:rFonts w:ascii="华文中宋" w:hAnsi="华文中宋" w:eastAsia="华文中宋"/>
          <w:b/>
          <w:szCs w:val="21"/>
        </w:rPr>
      </w:pPr>
    </w:p>
    <w:p>
      <w:pPr>
        <w:rPr>
          <w:rFonts w:ascii="华文中宋" w:hAnsi="华文中宋" w:eastAsia="华文中宋"/>
          <w:b/>
          <w:szCs w:val="21"/>
        </w:rPr>
      </w:pPr>
    </w:p>
    <w:p>
      <w:pPr>
        <w:pageBreakBefore/>
        <w:snapToGrid w:val="0"/>
        <w:spacing w:before="100" w:beforeAutospacing="1" w:after="100" w:afterAutospacing="1" w:line="480" w:lineRule="exact"/>
        <w:ind w:left="422" w:hanging="422" w:hangingChars="200"/>
        <w:rPr>
          <w:rFonts w:ascii="Arial" w:hAnsi="Arial" w:cs="Arial"/>
          <w:b/>
          <w:kern w:val="0"/>
          <w:szCs w:val="21"/>
        </w:rPr>
      </w:pPr>
      <w:r>
        <w:rPr>
          <w:rFonts w:hint="eastAsia" w:ascii="Arial" w:hAnsi="Arial" w:cs="Arial"/>
          <w:b/>
          <w:kern w:val="0"/>
          <w:szCs w:val="21"/>
        </w:rPr>
        <w:t>法定代表人授权委托书</w:t>
      </w:r>
    </w:p>
    <w:p>
      <w:pPr>
        <w:snapToGrid w:val="0"/>
        <w:spacing w:line="480" w:lineRule="exact"/>
        <w:ind w:left="420" w:hanging="420" w:hangingChars="200"/>
        <w:jc w:val="center"/>
        <w:rPr>
          <w:rFonts w:ascii="Arial" w:hAnsi="Arial" w:cs="Arial"/>
          <w:kern w:val="0"/>
          <w:szCs w:val="21"/>
        </w:rPr>
      </w:pPr>
      <w:r>
        <w:rPr>
          <w:rFonts w:hint="eastAsia" w:ascii="Arial" w:hAnsi="Arial" w:cs="Arial"/>
          <w:kern w:val="0"/>
          <w:szCs w:val="21"/>
        </w:rPr>
        <w:t>法定代表人</w:t>
      </w:r>
      <w:r>
        <w:rPr>
          <w:rFonts w:hint="eastAsia" w:ascii="Arial" w:hAnsi="Arial" w:cs="Arial"/>
          <w:kern w:val="0"/>
          <w:szCs w:val="21"/>
          <w:lang w:eastAsia="zh-CN"/>
        </w:rPr>
        <w:t>（负责人）</w:t>
      </w:r>
      <w:r>
        <w:rPr>
          <w:rFonts w:hint="eastAsia" w:ascii="Arial" w:hAnsi="Arial" w:cs="Arial"/>
          <w:kern w:val="0"/>
          <w:szCs w:val="21"/>
        </w:rPr>
        <w:t>授权委托书</w:t>
      </w:r>
    </w:p>
    <w:p>
      <w:pPr>
        <w:snapToGrid w:val="0"/>
        <w:spacing w:line="480" w:lineRule="exact"/>
        <w:ind w:left="420" w:hanging="420" w:hangingChars="200"/>
        <w:jc w:val="center"/>
        <w:rPr>
          <w:rFonts w:ascii="Arial" w:hAnsi="Arial" w:cs="Arial"/>
          <w:kern w:val="0"/>
          <w:szCs w:val="21"/>
        </w:rPr>
      </w:pPr>
    </w:p>
    <w:p>
      <w:pPr>
        <w:snapToGrid w:val="0"/>
        <w:spacing w:line="480" w:lineRule="exact"/>
        <w:rPr>
          <w:rFonts w:ascii="Arial" w:hAnsi="Arial" w:cs="Arial"/>
          <w:kern w:val="0"/>
          <w:szCs w:val="21"/>
        </w:rPr>
      </w:pPr>
      <w:r>
        <w:rPr>
          <w:rFonts w:hint="eastAsia" w:ascii="Arial" w:hAnsi="Arial" w:cs="Arial"/>
          <w:kern w:val="0"/>
          <w:szCs w:val="21"/>
          <w:lang w:eastAsia="zh-CN"/>
        </w:rPr>
        <w:t>阳泉市公共资源交易中心（阳泉市政府采购中心）</w:t>
      </w:r>
      <w:r>
        <w:rPr>
          <w:rFonts w:hint="eastAsia" w:ascii="Arial" w:hAnsi="Arial" w:cs="Arial"/>
          <w:kern w:val="0"/>
          <w:szCs w:val="21"/>
        </w:rPr>
        <w:t>：</w:t>
      </w:r>
    </w:p>
    <w:p>
      <w:pPr>
        <w:snapToGrid w:val="0"/>
        <w:spacing w:line="480" w:lineRule="exact"/>
        <w:rPr>
          <w:rFonts w:ascii="Arial" w:hAnsi="Arial" w:cs="Arial"/>
          <w:kern w:val="0"/>
          <w:szCs w:val="21"/>
        </w:rPr>
      </w:pPr>
      <w:r>
        <w:rPr>
          <w:rFonts w:hint="eastAsia" w:ascii="Arial" w:hAnsi="Arial" w:cs="Arial"/>
          <w:kern w:val="0"/>
          <w:szCs w:val="21"/>
        </w:rPr>
        <w:t>本授权委托书声明：注册于</w:t>
      </w:r>
      <w:r>
        <w:rPr>
          <w:rFonts w:hint="eastAsia" w:ascii="Arial" w:hAnsi="Arial" w:cs="Arial"/>
          <w:kern w:val="0"/>
          <w:szCs w:val="21"/>
          <w:u w:val="single"/>
        </w:rPr>
        <w:t>（投标人住址）</w:t>
      </w:r>
      <w:r>
        <w:rPr>
          <w:rFonts w:hint="eastAsia" w:ascii="Arial" w:hAnsi="Arial" w:cs="Arial"/>
          <w:kern w:val="0"/>
          <w:szCs w:val="21"/>
        </w:rPr>
        <w:t>的</w:t>
      </w:r>
      <w:r>
        <w:rPr>
          <w:rFonts w:hint="eastAsia" w:ascii="Arial" w:hAnsi="Arial" w:cs="Arial"/>
          <w:kern w:val="0"/>
          <w:szCs w:val="21"/>
          <w:u w:val="single"/>
        </w:rPr>
        <w:t>（投标人名称）</w:t>
      </w:r>
      <w:r>
        <w:rPr>
          <w:rFonts w:hint="eastAsia" w:ascii="Arial" w:hAnsi="Arial" w:cs="Arial"/>
          <w:kern w:val="0"/>
          <w:szCs w:val="21"/>
        </w:rPr>
        <w:t>法定代表人</w:t>
      </w:r>
      <w:r>
        <w:rPr>
          <w:rFonts w:hint="eastAsia" w:ascii="Arial" w:hAnsi="Arial" w:cs="Arial"/>
          <w:kern w:val="0"/>
          <w:szCs w:val="21"/>
          <w:u w:val="single"/>
        </w:rPr>
        <w:t>（法定代表人姓名、职务、身份证号）</w:t>
      </w:r>
      <w:r>
        <w:rPr>
          <w:rFonts w:hint="eastAsia" w:ascii="Arial" w:hAnsi="Arial" w:cs="Arial"/>
          <w:kern w:val="0"/>
          <w:szCs w:val="21"/>
        </w:rPr>
        <w:t>代表本公司授权</w:t>
      </w:r>
      <w:r>
        <w:rPr>
          <w:rFonts w:hint="eastAsia" w:ascii="Arial" w:hAnsi="Arial" w:cs="Arial"/>
          <w:kern w:val="0"/>
          <w:szCs w:val="21"/>
          <w:u w:val="single"/>
        </w:rPr>
        <w:t>（投标人代表姓名、职务、身份证号）</w:t>
      </w:r>
      <w:r>
        <w:rPr>
          <w:rFonts w:hint="eastAsia" w:ascii="Arial" w:hAnsi="Arial" w:cs="Arial"/>
          <w:kern w:val="0"/>
          <w:szCs w:val="21"/>
        </w:rPr>
        <w:t>为本公司的合法代理人，就贵方组织的</w:t>
      </w:r>
      <w:r>
        <w:rPr>
          <w:rFonts w:hint="eastAsia" w:ascii="Arial" w:hAnsi="Arial" w:cs="Arial"/>
          <w:kern w:val="0"/>
          <w:szCs w:val="21"/>
          <w:u w:val="single"/>
          <w:lang w:val="en-US" w:eastAsia="zh-CN"/>
        </w:rPr>
        <w:t xml:space="preserve">           </w:t>
      </w:r>
      <w:r>
        <w:rPr>
          <w:rFonts w:hint="eastAsia" w:ascii="Arial" w:hAnsi="Arial" w:cs="Arial"/>
          <w:kern w:val="0"/>
          <w:szCs w:val="21"/>
        </w:rPr>
        <w:t>项目，项目编号：</w:t>
      </w:r>
      <w:r>
        <w:rPr>
          <w:rFonts w:hint="eastAsia" w:ascii="Arial" w:hAnsi="Arial" w:cs="Arial"/>
          <w:kern w:val="0"/>
          <w:szCs w:val="21"/>
          <w:u w:val="single"/>
          <w:lang w:val="en-US" w:eastAsia="zh-CN"/>
        </w:rPr>
        <w:t xml:space="preserve">              </w:t>
      </w:r>
      <w:r>
        <w:rPr>
          <w:rFonts w:hint="eastAsia" w:ascii="Arial" w:hAnsi="Arial" w:cs="Arial"/>
          <w:kern w:val="0"/>
          <w:szCs w:val="21"/>
        </w:rPr>
        <w:t>，以本公司名义处理一切与之有关的事务。</w:t>
      </w:r>
    </w:p>
    <w:p>
      <w:pPr>
        <w:snapToGrid w:val="0"/>
        <w:spacing w:line="480" w:lineRule="exact"/>
        <w:ind w:firstLine="420" w:firstLineChars="200"/>
        <w:rPr>
          <w:rFonts w:ascii="Arial" w:hAnsi="Arial" w:cs="Arial"/>
          <w:kern w:val="0"/>
          <w:szCs w:val="21"/>
        </w:rPr>
      </w:pPr>
      <w:r>
        <w:rPr>
          <w:rFonts w:hint="eastAsia" w:ascii="Arial" w:hAnsi="Arial" w:cs="Arial"/>
          <w:kern w:val="0"/>
          <w:szCs w:val="21"/>
        </w:rPr>
        <w:t>本授权书于年月日签字生效，特此声明。</w:t>
      </w:r>
    </w:p>
    <w:p>
      <w:pPr>
        <w:snapToGrid w:val="0"/>
        <w:spacing w:line="480" w:lineRule="exact"/>
        <w:rPr>
          <w:rFonts w:ascii="Arial" w:hAnsi="Arial" w:cs="Arial"/>
          <w:kern w:val="0"/>
          <w:szCs w:val="21"/>
        </w:rPr>
      </w:pPr>
    </w:p>
    <w:p>
      <w:pPr>
        <w:snapToGrid w:val="0"/>
        <w:spacing w:line="480" w:lineRule="exact"/>
        <w:ind w:firstLine="420" w:firstLineChars="200"/>
        <w:jc w:val="right"/>
        <w:rPr>
          <w:rFonts w:ascii="Arial" w:hAnsi="Arial" w:cs="Arial"/>
          <w:kern w:val="0"/>
          <w:szCs w:val="21"/>
        </w:rPr>
      </w:pPr>
      <w:r>
        <w:rPr>
          <w:rFonts w:hint="eastAsia" w:ascii="Arial" w:hAnsi="Arial" w:cs="Arial"/>
          <w:kern w:val="0"/>
          <w:szCs w:val="21"/>
        </w:rPr>
        <w:t>法定代表人</w:t>
      </w:r>
      <w:r>
        <w:rPr>
          <w:rFonts w:hint="eastAsia" w:ascii="Arial" w:hAnsi="Arial" w:cs="Arial"/>
          <w:kern w:val="0"/>
          <w:szCs w:val="21"/>
          <w:lang w:eastAsia="zh-CN"/>
        </w:rPr>
        <w:t>（负责人）</w:t>
      </w:r>
      <w:r>
        <w:rPr>
          <w:rFonts w:hint="eastAsia" w:ascii="Arial" w:hAnsi="Arial" w:cs="Arial"/>
          <w:kern w:val="0"/>
          <w:szCs w:val="21"/>
        </w:rPr>
        <w:t>（签字或</w:t>
      </w:r>
      <w:r>
        <w:rPr>
          <w:rFonts w:hint="eastAsia" w:ascii="Arial" w:hAnsi="Arial" w:cs="Arial"/>
          <w:kern w:val="0"/>
          <w:szCs w:val="21"/>
          <w:lang w:eastAsia="zh-CN"/>
        </w:rPr>
        <w:t>盖</w:t>
      </w:r>
      <w:r>
        <w:rPr>
          <w:rFonts w:hint="eastAsia" w:ascii="Arial" w:hAnsi="Arial" w:cs="Arial"/>
          <w:kern w:val="0"/>
          <w:szCs w:val="21"/>
        </w:rPr>
        <w:t>章）：</w:t>
      </w:r>
    </w:p>
    <w:p>
      <w:pPr>
        <w:snapToGrid w:val="0"/>
        <w:spacing w:line="480" w:lineRule="exact"/>
        <w:ind w:firstLine="420" w:firstLineChars="200"/>
        <w:jc w:val="center"/>
        <w:rPr>
          <w:rFonts w:ascii="Arial" w:hAnsi="Arial" w:cs="Arial"/>
          <w:kern w:val="0"/>
          <w:szCs w:val="21"/>
        </w:rPr>
      </w:pPr>
      <w:r>
        <w:rPr>
          <w:rFonts w:hint="eastAsia" w:ascii="Arial" w:hAnsi="Arial" w:cs="Arial"/>
          <w:kern w:val="0"/>
          <w:szCs w:val="21"/>
          <w:lang w:val="en-US" w:eastAsia="zh-CN"/>
        </w:rPr>
        <w:t xml:space="preserve">                       </w:t>
      </w:r>
      <w:r>
        <w:rPr>
          <w:rFonts w:hint="eastAsia" w:ascii="Arial" w:hAnsi="Arial" w:cs="Arial"/>
          <w:kern w:val="0"/>
          <w:szCs w:val="21"/>
        </w:rPr>
        <w:t>投标单位（公章）：</w:t>
      </w:r>
    </w:p>
    <w:p>
      <w:pPr>
        <w:spacing w:line="480" w:lineRule="exact"/>
        <w:rPr>
          <w:rFonts w:ascii="Arial" w:hAnsi="Arial" w:cs="Arial"/>
          <w:kern w:val="0"/>
          <w:szCs w:val="21"/>
        </w:rPr>
      </w:pPr>
      <w:r>
        <w:rPr>
          <w:rFonts w:hint="eastAsia" w:ascii="Arial" w:hAnsi="Arial" w:cs="Arial"/>
          <w:kern w:val="0"/>
          <w:szCs w:val="21"/>
        </w:rPr>
        <w:t>附投标人代表有效的身份证正反两面复印件</w:t>
      </w:r>
    </w:p>
    <w:tbl>
      <w:tblPr>
        <w:tblStyle w:val="59"/>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5"/>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4" w:hRule="atLeast"/>
        </w:trPr>
        <w:tc>
          <w:tcPr>
            <w:tcW w:w="461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kern w:val="0"/>
                <w:szCs w:val="21"/>
              </w:rPr>
            </w:pPr>
          </w:p>
        </w:tc>
        <w:tc>
          <w:tcPr>
            <w:tcW w:w="461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kern w:val="0"/>
                <w:szCs w:val="21"/>
              </w:rPr>
            </w:pPr>
          </w:p>
        </w:tc>
      </w:tr>
    </w:tbl>
    <w:p>
      <w:pPr>
        <w:pageBreakBefore w:val="0"/>
        <w:kinsoku/>
        <w:bidi w:val="0"/>
        <w:snapToGrid w:val="0"/>
        <w:spacing w:line="360" w:lineRule="auto"/>
        <w:ind w:firstLine="422" w:firstLineChars="200"/>
        <w:outlineLvl w:val="9"/>
        <w:rPr>
          <w:rFonts w:hint="eastAsia" w:ascii="宋体" w:hAnsi="宋体" w:eastAsia="宋体" w:cs="宋体"/>
          <w:b/>
          <w:szCs w:val="21"/>
        </w:rPr>
      </w:pPr>
    </w:p>
    <w:p>
      <w:pPr>
        <w:pageBreakBefore w:val="0"/>
        <w:kinsoku/>
        <w:bidi w:val="0"/>
        <w:snapToGrid w:val="0"/>
        <w:spacing w:line="360" w:lineRule="auto"/>
        <w:ind w:firstLine="422" w:firstLineChars="200"/>
        <w:outlineLvl w:val="9"/>
        <w:rPr>
          <w:rFonts w:hint="eastAsia" w:ascii="宋体" w:hAnsi="宋体" w:eastAsia="宋体" w:cs="宋体"/>
          <w:b/>
          <w:szCs w:val="21"/>
        </w:rPr>
      </w:pPr>
    </w:p>
    <w:p>
      <w:pPr>
        <w:pageBreakBefore w:val="0"/>
        <w:kinsoku/>
        <w:bidi w:val="0"/>
        <w:snapToGrid w:val="0"/>
        <w:spacing w:line="360" w:lineRule="auto"/>
        <w:ind w:firstLine="422" w:firstLineChars="200"/>
        <w:outlineLvl w:val="9"/>
        <w:rPr>
          <w:rFonts w:hint="eastAsia" w:ascii="宋体" w:hAnsi="宋体" w:eastAsia="宋体" w:cs="宋体"/>
          <w:b/>
          <w:szCs w:val="21"/>
        </w:rPr>
      </w:pPr>
    </w:p>
    <w:p>
      <w:pPr>
        <w:pageBreakBefore w:val="0"/>
        <w:kinsoku/>
        <w:bidi w:val="0"/>
        <w:snapToGrid w:val="0"/>
        <w:spacing w:line="360" w:lineRule="auto"/>
        <w:ind w:firstLine="422" w:firstLineChars="200"/>
        <w:outlineLvl w:val="9"/>
        <w:rPr>
          <w:rFonts w:hint="eastAsia" w:ascii="宋体" w:hAnsi="宋体" w:eastAsia="宋体" w:cs="宋体"/>
          <w:b/>
          <w:szCs w:val="21"/>
        </w:rPr>
      </w:pPr>
    </w:p>
    <w:p>
      <w:pPr>
        <w:pageBreakBefore w:val="0"/>
        <w:kinsoku/>
        <w:bidi w:val="0"/>
        <w:snapToGrid w:val="0"/>
        <w:spacing w:line="360" w:lineRule="auto"/>
        <w:ind w:firstLine="422" w:firstLineChars="200"/>
        <w:outlineLvl w:val="9"/>
        <w:rPr>
          <w:rFonts w:hint="eastAsia" w:ascii="宋体" w:hAnsi="宋体" w:eastAsia="宋体" w:cs="宋体"/>
          <w:b/>
          <w:szCs w:val="21"/>
        </w:rPr>
      </w:pPr>
    </w:p>
    <w:p>
      <w:pPr>
        <w:pageBreakBefore w:val="0"/>
        <w:kinsoku/>
        <w:bidi w:val="0"/>
        <w:snapToGrid w:val="0"/>
        <w:spacing w:line="360" w:lineRule="auto"/>
        <w:ind w:firstLine="422" w:firstLineChars="200"/>
        <w:outlineLvl w:val="9"/>
        <w:rPr>
          <w:rFonts w:hint="eastAsia" w:ascii="宋体" w:hAnsi="宋体" w:eastAsia="宋体" w:cs="宋体"/>
          <w:b/>
          <w:szCs w:val="21"/>
        </w:rPr>
      </w:pPr>
    </w:p>
    <w:p>
      <w:pPr>
        <w:pageBreakBefore w:val="0"/>
        <w:kinsoku/>
        <w:bidi w:val="0"/>
        <w:snapToGrid w:val="0"/>
        <w:spacing w:line="360" w:lineRule="auto"/>
        <w:ind w:firstLine="422" w:firstLineChars="200"/>
        <w:outlineLvl w:val="9"/>
        <w:rPr>
          <w:rFonts w:hint="eastAsia" w:ascii="宋体" w:hAnsi="宋体" w:eastAsia="宋体" w:cs="宋体"/>
          <w:b/>
          <w:szCs w:val="21"/>
        </w:rPr>
      </w:pPr>
    </w:p>
    <w:p>
      <w:pPr>
        <w:pageBreakBefore w:val="0"/>
        <w:kinsoku/>
        <w:bidi w:val="0"/>
        <w:snapToGrid w:val="0"/>
        <w:spacing w:line="360" w:lineRule="auto"/>
        <w:ind w:firstLine="422" w:firstLineChars="200"/>
        <w:outlineLvl w:val="9"/>
        <w:rPr>
          <w:rFonts w:hint="eastAsia" w:ascii="宋体" w:hAnsi="宋体" w:eastAsia="宋体" w:cs="宋体"/>
          <w:b/>
          <w:szCs w:val="21"/>
        </w:rPr>
      </w:pPr>
    </w:p>
    <w:p>
      <w:pPr>
        <w:pageBreakBefore w:val="0"/>
        <w:kinsoku/>
        <w:bidi w:val="0"/>
        <w:snapToGrid w:val="0"/>
        <w:spacing w:line="360" w:lineRule="auto"/>
        <w:ind w:firstLine="422" w:firstLineChars="200"/>
        <w:outlineLvl w:val="9"/>
        <w:rPr>
          <w:rFonts w:hint="eastAsia" w:ascii="宋体" w:hAnsi="宋体" w:eastAsia="宋体" w:cs="宋体"/>
          <w:b/>
          <w:szCs w:val="21"/>
        </w:rPr>
      </w:pPr>
    </w:p>
    <w:p>
      <w:pPr>
        <w:pageBreakBefore w:val="0"/>
        <w:kinsoku/>
        <w:bidi w:val="0"/>
        <w:snapToGrid w:val="0"/>
        <w:spacing w:line="360" w:lineRule="auto"/>
        <w:outlineLvl w:val="9"/>
        <w:rPr>
          <w:rFonts w:hint="eastAsia" w:ascii="宋体" w:hAnsi="宋体" w:eastAsia="宋体" w:cs="宋体"/>
          <w:color w:val="auto"/>
          <w:szCs w:val="21"/>
          <w:highlight w:val="none"/>
        </w:rPr>
      </w:pPr>
      <w:r>
        <w:rPr>
          <w:rFonts w:hint="eastAsia" w:ascii="宋体" w:hAnsi="宋体" w:eastAsia="宋体" w:cs="宋体"/>
          <w:b/>
          <w:szCs w:val="21"/>
        </w:rPr>
        <w:t>（二）</w:t>
      </w:r>
      <w:r>
        <w:rPr>
          <w:rFonts w:hint="eastAsia" w:ascii="宋体" w:hAnsi="宋体" w:eastAsia="宋体" w:cs="宋体"/>
          <w:b/>
          <w:color w:val="auto"/>
          <w:kern w:val="0"/>
          <w:sz w:val="24"/>
          <w:highlight w:val="none"/>
        </w:rPr>
        <w:t>以下内容提供《政府集中采购供应商信用承诺书》一份。</w:t>
      </w:r>
    </w:p>
    <w:p>
      <w:pPr>
        <w:pageBreakBefore w:val="0"/>
        <w:kinsoku/>
        <w:bidi w:val="0"/>
        <w:spacing w:line="360" w:lineRule="auto"/>
        <w:ind w:firstLine="420" w:firstLineChars="200"/>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具有独立承担民事责任的能力</w:t>
      </w:r>
    </w:p>
    <w:p>
      <w:pPr>
        <w:pageBreakBefore w:val="0"/>
        <w:kinsoku/>
        <w:bidi w:val="0"/>
        <w:spacing w:line="360" w:lineRule="auto"/>
        <w:ind w:firstLine="420" w:firstLineChars="200"/>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具有良好的商业信誉和健全的财务会计制度</w:t>
      </w:r>
    </w:p>
    <w:p>
      <w:pPr>
        <w:pageBreakBefore w:val="0"/>
        <w:kinsoku/>
        <w:bidi w:val="0"/>
        <w:spacing w:line="360" w:lineRule="auto"/>
        <w:ind w:firstLine="420" w:firstLineChars="200"/>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具有依法缴纳税收的良好记录</w:t>
      </w:r>
    </w:p>
    <w:p>
      <w:pPr>
        <w:pageBreakBefore w:val="0"/>
        <w:kinsoku/>
        <w:bidi w:val="0"/>
        <w:spacing w:line="360" w:lineRule="auto"/>
        <w:ind w:firstLine="420" w:firstLineChars="200"/>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具有依法缴纳社会保障资金的良好记录</w:t>
      </w:r>
    </w:p>
    <w:p>
      <w:pPr>
        <w:pageBreakBefore w:val="0"/>
        <w:kinsoku/>
        <w:bidi w:val="0"/>
        <w:spacing w:line="360" w:lineRule="auto"/>
        <w:ind w:firstLine="420" w:firstLineChars="200"/>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具有履行合同</w:t>
      </w:r>
      <w:r>
        <w:rPr>
          <w:rFonts w:hint="eastAsia" w:ascii="宋体" w:hAnsi="宋体" w:eastAsia="宋体" w:cs="宋体"/>
          <w:color w:val="auto"/>
          <w:szCs w:val="21"/>
          <w:highlight w:val="none"/>
        </w:rPr>
        <w:t>所必需的设备和专业技术能力</w:t>
      </w:r>
    </w:p>
    <w:p>
      <w:pPr>
        <w:pageBreakBefore w:val="0"/>
        <w:kinsoku/>
        <w:bidi w:val="0"/>
        <w:spacing w:line="360" w:lineRule="auto"/>
        <w:ind w:firstLine="420" w:firstLineChars="200"/>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参加政府采购活动前三年内，在经营活动中没有重大违法记录</w:t>
      </w:r>
    </w:p>
    <w:p>
      <w:pPr>
        <w:pageBreakBefore w:val="0"/>
        <w:kinsoku/>
        <w:bidi w:val="0"/>
        <w:spacing w:line="360" w:lineRule="auto"/>
        <w:outlineLvl w:val="9"/>
        <w:rPr>
          <w:rFonts w:hint="eastAsia" w:ascii="宋体" w:hAnsi="宋体" w:eastAsia="宋体" w:cs="宋体"/>
          <w:b/>
          <w:color w:val="auto"/>
          <w:sz w:val="24"/>
          <w:highlight w:val="none"/>
        </w:rPr>
      </w:pPr>
    </w:p>
    <w:p>
      <w:pPr>
        <w:pageBreakBefore w:val="0"/>
        <w:kinsoku/>
        <w:bidi w:val="0"/>
        <w:spacing w:line="360" w:lineRule="auto"/>
        <w:outlineLvl w:val="9"/>
        <w:rPr>
          <w:rFonts w:hint="eastAsia" w:ascii="宋体" w:hAnsi="宋体" w:eastAsia="宋体" w:cs="宋体"/>
          <w:b/>
          <w:color w:val="auto"/>
          <w:sz w:val="24"/>
          <w:highlight w:val="none"/>
        </w:rPr>
      </w:pPr>
    </w:p>
    <w:p>
      <w:pPr>
        <w:pageBreakBefore w:val="0"/>
        <w:kinsoku/>
        <w:bidi w:val="0"/>
        <w:spacing w:line="360" w:lineRule="auto"/>
        <w:outlineLvl w:val="9"/>
        <w:rPr>
          <w:rFonts w:hint="eastAsia" w:ascii="宋体" w:hAnsi="宋体" w:eastAsia="宋体" w:cs="宋体"/>
          <w:b/>
          <w:color w:val="auto"/>
          <w:sz w:val="24"/>
          <w:highlight w:val="none"/>
        </w:rPr>
      </w:pPr>
    </w:p>
    <w:p>
      <w:pPr>
        <w:pageBreakBefore w:val="0"/>
        <w:kinsoku/>
        <w:bidi w:val="0"/>
        <w:spacing w:line="360" w:lineRule="auto"/>
        <w:outlineLvl w:val="9"/>
        <w:rPr>
          <w:rFonts w:hint="eastAsia" w:ascii="宋体" w:hAnsi="宋体" w:eastAsia="宋体" w:cs="宋体"/>
          <w:b/>
          <w:color w:val="auto"/>
          <w:sz w:val="24"/>
          <w:highlight w:val="none"/>
        </w:rPr>
      </w:pPr>
    </w:p>
    <w:p>
      <w:pPr>
        <w:pageBreakBefore w:val="0"/>
        <w:kinsoku/>
        <w:bidi w:val="0"/>
        <w:spacing w:line="360" w:lineRule="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政府集中采购供应商信用承诺书格式</w:t>
      </w:r>
    </w:p>
    <w:p>
      <w:pPr>
        <w:pageBreakBefore w:val="0"/>
        <w:kinsoku/>
        <w:bidi w:val="0"/>
        <w:spacing w:line="360" w:lineRule="auto"/>
        <w:jc w:val="center"/>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政府集中采购供应商信用承诺书</w:t>
      </w:r>
    </w:p>
    <w:p>
      <w:pPr>
        <w:pageBreakBefore w:val="0"/>
        <w:kinsoku/>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单位名称:</w:t>
      </w:r>
    </w:p>
    <w:p>
      <w:pPr>
        <w:pageBreakBefore w:val="0"/>
        <w:kinsoku/>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p>
      <w:pPr>
        <w:pageBreakBefore w:val="0"/>
        <w:kinsoku/>
        <w:bidi w:val="0"/>
        <w:spacing w:line="360" w:lineRule="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项目编号：</w:t>
      </w:r>
    </w:p>
    <w:p>
      <w:pPr>
        <w:pageBreakBefore w:val="0"/>
        <w:kinsoku/>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为维护政府采购市场秩序,遵循公开透明、公平竞争、公正原则和诚实信用原则,本单位/个人自愿做出以下承诺:</w:t>
      </w:r>
    </w:p>
    <w:p>
      <w:pPr>
        <w:pageBreakBefore w:val="0"/>
        <w:kinsoku/>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 承诺本单位/本人严格遵守国家法律、法规和规章,全面履行应尽的责任和义务,全面做到履约守信;</w:t>
      </w:r>
    </w:p>
    <w:p>
      <w:pPr>
        <w:pageBreakBefore w:val="0"/>
        <w:kinsoku/>
        <w:bidi w:val="0"/>
        <w:spacing w:line="360" w:lineRule="auto"/>
        <w:ind w:firstLine="420" w:firstLineChars="200"/>
        <w:outlineLvl w:val="9"/>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承诺本单位/本人具有</w:t>
      </w:r>
      <w:r>
        <w:rPr>
          <w:rFonts w:hint="eastAsia" w:ascii="宋体" w:hAnsi="宋体" w:eastAsia="宋体" w:cs="宋体"/>
          <w:color w:val="auto"/>
          <w:kern w:val="0"/>
          <w:szCs w:val="21"/>
          <w:highlight w:val="none"/>
        </w:rPr>
        <w:t>独立承担民事责任的能力</w:t>
      </w:r>
      <w:r>
        <w:rPr>
          <w:rFonts w:hint="eastAsia" w:ascii="宋体" w:hAnsi="宋体" w:eastAsia="宋体" w:cs="宋体"/>
          <w:color w:val="auto"/>
          <w:kern w:val="0"/>
          <w:szCs w:val="21"/>
          <w:highlight w:val="none"/>
          <w:lang w:eastAsia="zh-CN"/>
        </w:rPr>
        <w:t>（具有</w:t>
      </w:r>
      <w:r>
        <w:rPr>
          <w:rFonts w:hint="eastAsia" w:ascii="宋体" w:hAnsi="宋体" w:eastAsia="宋体" w:cs="宋体"/>
          <w:color w:val="auto"/>
          <w:kern w:val="0"/>
          <w:szCs w:val="21"/>
          <w:highlight w:val="none"/>
        </w:rPr>
        <w:t>有效的营业执照，或事业单位法人证书，或自然人身份证明，或其他非企业组织证明独立承担民事责任能力的文件；</w:t>
      </w:r>
      <w:r>
        <w:rPr>
          <w:rFonts w:hint="eastAsia" w:ascii="宋体" w:hAnsi="宋体" w:eastAsia="宋体" w:cs="宋体"/>
          <w:color w:val="auto"/>
          <w:kern w:val="0"/>
          <w:szCs w:val="21"/>
          <w:highlight w:val="none"/>
          <w:lang w:eastAsia="zh-CN"/>
        </w:rPr>
        <w:t>）</w:t>
      </w:r>
    </w:p>
    <w:p>
      <w:pPr>
        <w:pageBreakBefore w:val="0"/>
        <w:kinsoku/>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 xml:space="preserve"> 承诺本单位/本人具有良好的商业信誉和健全的财务会计制度（具有投标截止日前18个月内会计师事务所出具的审计报告，或投标截止日前18个月内经审计的财务报告，或基本开户银行出具的资信证明，或财政部门认可的政府采购专业担保机构出具的投标担保函）；</w:t>
      </w:r>
    </w:p>
    <w:p>
      <w:pPr>
        <w:pageBreakBefore w:val="0"/>
        <w:kinsoku/>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 承诺本单位/本人具有履行合同所必需的设备和专业技术能力；</w:t>
      </w:r>
    </w:p>
    <w:p>
      <w:pPr>
        <w:pageBreakBefore w:val="0"/>
        <w:kinsoku/>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 承诺本单位/本人有依法缴纳税收和社会保障资金的良好记录（具有递交响应文件截止日前12个月内缴纳税收的凭据（专用收据或银行代收的凭据），或能证明已缴纳税收的其他材料复印件；具有社会保险登记证，或近一年内缴纳任意一项社会保险的凭据、专用收据或社会保险缴纳清单或银行代收的凭据，或能证明已缴纳社会保险的其他材料）；</w:t>
      </w:r>
    </w:p>
    <w:p>
      <w:pPr>
        <w:pageBreakBefore w:val="0"/>
        <w:kinsoku/>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 承诺本单位/本人参加政府采购活动前三年内，在经营活动中没有因违法经营受到刑事处罚或者责令停产停业、吊销许可证或者执照、较大数额罚款等行政处罚；在投标前查询了在信用中国网中的信用信息，本公司/本人未列入失信被执行人、重大税收违法案件当事人名单；查询了在中国政府采购网中的政府采购严重违法失信行为信息，本公司未列入政府采购严重违法失信行为记录名单；</w:t>
      </w:r>
    </w:p>
    <w:p>
      <w:pPr>
        <w:pageBreakBefore w:val="0"/>
        <w:kinsoku/>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 承诺本单位/本人提供的所有投标（响应）资料均合法、真实、有效,无任何伪造、篡改、虚假成份,并对所提供资料的真实性负责；</w:t>
      </w:r>
    </w:p>
    <w:p>
      <w:pPr>
        <w:pageBreakBefore w:val="0"/>
        <w:kinsoku/>
        <w:bidi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 承诺本单位/本人若违背承诺约定, 愿意依法承担相应的法律责任,并同意将不良行为在信用中国或中国政府采购网公示。</w:t>
      </w:r>
    </w:p>
    <w:p>
      <w:pPr>
        <w:pageBreakBefore w:val="0"/>
        <w:kinsoku/>
        <w:bidi w:val="0"/>
        <w:snapToGrid w:val="0"/>
        <w:spacing w:line="360" w:lineRule="auto"/>
        <w:ind w:firstLine="2205" w:firstLineChars="1050"/>
        <w:outlineLvl w:val="9"/>
        <w:rPr>
          <w:rFonts w:hint="eastAsia" w:ascii="宋体" w:hAnsi="宋体" w:eastAsia="宋体" w:cs="宋体"/>
          <w:color w:val="auto"/>
          <w:highlight w:val="none"/>
        </w:rPr>
      </w:pPr>
    </w:p>
    <w:p>
      <w:pPr>
        <w:pageBreakBefore w:val="0"/>
        <w:kinsoku/>
        <w:bidi w:val="0"/>
        <w:snapToGrid w:val="0"/>
        <w:spacing w:line="360" w:lineRule="auto"/>
        <w:ind w:firstLine="2205" w:firstLineChars="1050"/>
        <w:outlineLvl w:val="9"/>
        <w:rPr>
          <w:rFonts w:hint="eastAsia" w:ascii="宋体" w:hAnsi="宋体" w:eastAsia="宋体" w:cs="宋体"/>
          <w:b/>
          <w:color w:val="auto"/>
          <w:szCs w:val="21"/>
          <w:highlight w:val="none"/>
        </w:rPr>
      </w:pPr>
      <w:r>
        <w:rPr>
          <w:rFonts w:hint="eastAsia" w:ascii="宋体" w:hAnsi="宋体" w:eastAsia="宋体" w:cs="宋体"/>
          <w:color w:val="auto"/>
          <w:highlight w:val="none"/>
        </w:rPr>
        <w:t xml:space="preserve">    </w:t>
      </w:r>
      <w:r>
        <w:rPr>
          <w:rFonts w:hint="eastAsia" w:ascii="宋体" w:hAnsi="宋体" w:cs="宋体"/>
          <w:color w:val="auto"/>
          <w:highlight w:val="none"/>
          <w:lang w:eastAsia="zh-CN"/>
        </w:rPr>
        <w:t>投标人</w:t>
      </w:r>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u w:val="single"/>
        </w:rPr>
        <w:t xml:space="preserve">                            </w:t>
      </w:r>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lang w:eastAsia="zh-CN"/>
        </w:rPr>
        <w:t>法人公章</w:t>
      </w:r>
      <w:r>
        <w:rPr>
          <w:rFonts w:hint="eastAsia" w:ascii="宋体" w:hAnsi="宋体" w:eastAsia="宋体" w:cs="宋体"/>
          <w:b/>
          <w:color w:val="auto"/>
          <w:szCs w:val="21"/>
          <w:highlight w:val="none"/>
        </w:rPr>
        <w:t>）</w:t>
      </w:r>
    </w:p>
    <w:p>
      <w:pPr>
        <w:pageBreakBefore w:val="0"/>
        <w:kinsoku/>
        <w:bidi w:val="0"/>
        <w:snapToGrid w:val="0"/>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年  月  日</w:t>
      </w:r>
    </w:p>
    <w:p>
      <w:pPr>
        <w:pStyle w:val="52"/>
        <w:numPr>
          <w:ilvl w:val="0"/>
          <w:numId w:val="8"/>
        </w:numPr>
        <w:jc w:val="left"/>
        <w:rPr>
          <w:rFonts w:hint="eastAsia" w:ascii="宋体" w:hAnsi="宋体" w:eastAsia="宋体" w:cs="宋体"/>
          <w:b/>
          <w:bCs w:val="0"/>
          <w:color w:val="auto"/>
          <w:kern w:val="2"/>
          <w:sz w:val="24"/>
          <w:szCs w:val="24"/>
          <w:highlight w:val="none"/>
          <w:lang w:val="en-US" w:eastAsia="zh-CN" w:bidi="ar-SA"/>
        </w:rPr>
      </w:pPr>
      <w:r>
        <w:rPr>
          <w:rFonts w:hint="eastAsia" w:ascii="宋体" w:hAnsi="宋体" w:eastAsia="宋体" w:cs="宋体"/>
          <w:b/>
          <w:bCs w:val="0"/>
          <w:color w:val="auto"/>
          <w:kern w:val="2"/>
          <w:sz w:val="24"/>
          <w:szCs w:val="24"/>
          <w:highlight w:val="none"/>
          <w:lang w:val="en-US" w:eastAsia="zh-CN" w:bidi="ar-SA"/>
        </w:rPr>
        <w:t>中小企业声明函格式</w:t>
      </w:r>
    </w:p>
    <w:p>
      <w:pPr>
        <w:pStyle w:val="51"/>
        <w:numPr>
          <w:ilvl w:val="0"/>
          <w:numId w:val="0"/>
        </w:numPr>
        <w:rPr>
          <w:rFonts w:hint="eastAsia"/>
          <w:lang w:val="en-US" w:eastAsia="zh-CN"/>
        </w:rPr>
      </w:pPr>
    </w:p>
    <w:p>
      <w:pPr>
        <w:jc w:val="center"/>
        <w:rPr>
          <w:rFonts w:hint="eastAsia"/>
          <w:b/>
        </w:rPr>
      </w:pPr>
      <w:r>
        <w:rPr>
          <w:rFonts w:hint="eastAsia"/>
          <w:b/>
        </w:rPr>
        <w:t>中小企业声明函（货物）</w:t>
      </w:r>
    </w:p>
    <w:p>
      <w:pPr>
        <w:rPr>
          <w:rFonts w:hint="eastAsia"/>
        </w:rPr>
      </w:pPr>
    </w:p>
    <w:p>
      <w:pPr>
        <w:rPr>
          <w:rFonts w:hint="eastAsia"/>
        </w:rPr>
      </w:pPr>
    </w:p>
    <w:p>
      <w:pPr>
        <w:ind w:firstLine="420" w:firstLineChars="200"/>
        <w:rPr>
          <w:rFonts w:hint="eastAsia"/>
        </w:rPr>
      </w:pPr>
      <w:r>
        <w:rPr>
          <w:rFonts w:hint="eastAsia"/>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rPr>
        <w:t>1. （</w:t>
      </w:r>
      <w:r>
        <w:rPr>
          <w:rFonts w:hint="eastAsia" w:ascii="Times New Roman" w:hAnsi="Times New Roman" w:eastAsia="宋体" w:cs="Times New Roman"/>
          <w:lang w:val="en-US" w:eastAsia="zh-CN"/>
        </w:rPr>
        <w:t>化学学生实验桌</w:t>
      </w:r>
      <w:r>
        <w:rPr>
          <w:rFonts w:hint="eastAsia" w:ascii="Times New Roman" w:hAnsi="Times New Roman" w:eastAsia="宋体" w:cs="Times New Roman"/>
        </w:rPr>
        <w:t>） ，属于（</w:t>
      </w:r>
      <w:r>
        <w:rPr>
          <w:rFonts w:hint="eastAsia" w:ascii="Times New Roman" w:hAnsi="Times New Roman" w:eastAsia="宋体" w:cs="Times New Roman"/>
          <w:lang w:eastAsia="zh-CN"/>
        </w:rPr>
        <w:t>工业</w:t>
      </w:r>
      <w:r>
        <w:rPr>
          <w:rFonts w:hint="eastAsia" w:ascii="Times New Roman" w:hAnsi="Times New Roman" w:eastAsia="宋体" w:cs="Times New Roman"/>
        </w:rPr>
        <w:t>）行业；制造商为（企业名称），从业人员人，营业收入为万元，资产总额为万元1，属于（中型企业、小型企业、微型企业）；</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rPr>
        <w:t>2. （</w:t>
      </w:r>
      <w:r>
        <w:rPr>
          <w:rFonts w:hint="eastAsia" w:ascii="Times New Roman" w:hAnsi="Times New Roman" w:eastAsia="宋体" w:cs="Times New Roman"/>
          <w:lang w:val="en-US" w:eastAsia="zh-CN"/>
        </w:rPr>
        <w:t>学生实验凳</w:t>
      </w:r>
      <w:r>
        <w:rPr>
          <w:rFonts w:hint="eastAsia" w:ascii="Times New Roman" w:hAnsi="Times New Roman" w:eastAsia="宋体" w:cs="Times New Roman"/>
        </w:rPr>
        <w:t>） ，属于（</w:t>
      </w:r>
      <w:r>
        <w:rPr>
          <w:rFonts w:hint="eastAsia" w:ascii="Times New Roman" w:hAnsi="Times New Roman" w:eastAsia="宋体" w:cs="Times New Roman"/>
          <w:lang w:eastAsia="zh-CN"/>
        </w:rPr>
        <w:t>工业</w:t>
      </w:r>
      <w:r>
        <w:rPr>
          <w:rFonts w:hint="eastAsia" w:ascii="Times New Roman" w:hAnsi="Times New Roman" w:eastAsia="宋体" w:cs="Times New Roman"/>
        </w:rPr>
        <w:t>）行业；制造商为（企业名称），从业人员人，营业收入为万元，资产总额为万元，属于（中型企业、小型企业、微型企业）；</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val="en-US" w:eastAsia="zh-CN"/>
        </w:rPr>
        <w:t>3.</w:t>
      </w:r>
      <w:r>
        <w:rPr>
          <w:rFonts w:hint="eastAsia" w:ascii="Times New Roman" w:hAnsi="Times New Roman" w:eastAsia="宋体" w:cs="Times New Roman"/>
        </w:rPr>
        <w:t>（</w:t>
      </w:r>
      <w:r>
        <w:rPr>
          <w:rFonts w:hint="eastAsia" w:ascii="Times New Roman" w:hAnsi="Times New Roman" w:eastAsia="宋体" w:cs="Times New Roman"/>
          <w:lang w:val="en-US" w:eastAsia="zh-CN"/>
        </w:rPr>
        <w:t>组合式智慧演示台</w:t>
      </w:r>
      <w:r>
        <w:rPr>
          <w:rFonts w:hint="eastAsia" w:ascii="Times New Roman" w:hAnsi="Times New Roman" w:eastAsia="宋体" w:cs="Times New Roman"/>
        </w:rPr>
        <w:t>） ，属于（</w:t>
      </w:r>
      <w:r>
        <w:rPr>
          <w:rFonts w:hint="eastAsia" w:ascii="Times New Roman" w:hAnsi="Times New Roman" w:eastAsia="宋体" w:cs="Times New Roman"/>
          <w:lang w:eastAsia="zh-CN"/>
        </w:rPr>
        <w:t>工业</w:t>
      </w:r>
      <w:r>
        <w:rPr>
          <w:rFonts w:hint="eastAsia" w:ascii="Times New Roman" w:hAnsi="Times New Roman" w:eastAsia="宋体" w:cs="Times New Roman"/>
        </w:rPr>
        <w:t>）行业；制造商为（企业名称），从业人员人，营业收入为万元，资产总额为万元，属于（中型企业、小型企业、微型企业）；</w:t>
      </w:r>
    </w:p>
    <w:p>
      <w:pPr>
        <w:ind w:firstLine="420" w:firstLineChars="200"/>
        <w:rPr>
          <w:rFonts w:hint="default" w:ascii="Times New Roman" w:hAnsi="Times New Roman" w:eastAsia="宋体" w:cs="Times New Roman"/>
          <w:lang w:val="en-US" w:eastAsia="zh-CN"/>
        </w:rPr>
      </w:pPr>
      <w:r>
        <w:rPr>
          <w:rFonts w:hint="eastAsia" w:ascii="Times New Roman" w:hAnsi="Times New Roman" w:eastAsia="宋体" w:cs="Times New Roman"/>
        </w:rPr>
        <w:t>……</w:t>
      </w:r>
    </w:p>
    <w:p>
      <w:pPr>
        <w:ind w:firstLine="420" w:firstLineChars="200"/>
        <w:rPr>
          <w:rFonts w:hint="default" w:ascii="Times New Roman" w:hAnsi="Times New Roman" w:eastAsia="宋体" w:cs="Times New Roman"/>
          <w:lang w:val="en-US" w:eastAsia="zh-CN"/>
        </w:rPr>
      </w:pPr>
      <w:r>
        <w:rPr>
          <w:rFonts w:hint="eastAsia" w:ascii="Times New Roman" w:hAnsi="Times New Roman" w:eastAsia="宋体" w:cs="Times New Roman"/>
        </w:rPr>
        <w:t>……</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val="en-US" w:eastAsia="zh-CN"/>
        </w:rPr>
        <w:t>248.</w:t>
      </w:r>
      <w:r>
        <w:rPr>
          <w:rFonts w:hint="eastAsia" w:ascii="Times New Roman" w:hAnsi="Times New Roman" w:eastAsia="宋体" w:cs="Times New Roman"/>
        </w:rPr>
        <w:t>（</w:t>
      </w:r>
      <w:r>
        <w:rPr>
          <w:rFonts w:hint="eastAsia" w:ascii="Times New Roman" w:hAnsi="Times New Roman" w:eastAsia="宋体" w:cs="Times New Roman"/>
          <w:lang w:val="en-US" w:eastAsia="zh-CN"/>
        </w:rPr>
        <w:t>LED黑板灯</w:t>
      </w:r>
      <w:r>
        <w:rPr>
          <w:rFonts w:hint="eastAsia" w:ascii="Times New Roman" w:hAnsi="Times New Roman" w:eastAsia="宋体" w:cs="Times New Roman"/>
        </w:rPr>
        <w:t>） ，属于（</w:t>
      </w:r>
      <w:r>
        <w:rPr>
          <w:rFonts w:hint="eastAsia" w:ascii="Times New Roman" w:hAnsi="Times New Roman" w:eastAsia="宋体" w:cs="Times New Roman"/>
          <w:lang w:eastAsia="zh-CN"/>
        </w:rPr>
        <w:t>工业</w:t>
      </w:r>
      <w:r>
        <w:rPr>
          <w:rFonts w:hint="eastAsia" w:ascii="Times New Roman" w:hAnsi="Times New Roman" w:eastAsia="宋体" w:cs="Times New Roman"/>
        </w:rPr>
        <w:t>）行业；制造商为（企业名称），从业人员人，营业收入为万元，资产总额为万元，属于（中型企业、小型企业、微型企业）；</w:t>
      </w:r>
    </w:p>
    <w:p>
      <w:pPr>
        <w:ind w:firstLine="420" w:firstLineChars="200"/>
        <w:rPr>
          <w:rFonts w:hint="eastAsia" w:ascii="Times New Roman" w:hAnsi="Times New Roman" w:eastAsia="宋体" w:cs="Times New Roman"/>
        </w:rPr>
      </w:pPr>
    </w:p>
    <w:p>
      <w:pPr>
        <w:ind w:firstLine="420" w:firstLineChars="200"/>
        <w:rPr>
          <w:rFonts w:hint="eastAsia"/>
        </w:rPr>
      </w:pPr>
      <w:r>
        <w:rPr>
          <w:rFonts w:hint="eastAsia"/>
        </w:rPr>
        <w:t>以上企业，不属于大企业的分支机构，不存在控股股东为大企业的情形，也不存在与大企业的负责人为同一人的情形。</w:t>
      </w:r>
    </w:p>
    <w:p>
      <w:pPr>
        <w:ind w:firstLine="420" w:firstLineChars="200"/>
        <w:rPr>
          <w:rFonts w:hint="eastAsia"/>
        </w:rPr>
      </w:pPr>
      <w:r>
        <w:rPr>
          <w:rFonts w:hint="eastAsia"/>
        </w:rPr>
        <w:t>本企业对上述声明内容的真实性负责。如有虚假，将依法承担相应责任。</w:t>
      </w:r>
    </w:p>
    <w:p>
      <w:pPr>
        <w:ind w:firstLine="6300" w:firstLineChars="3000"/>
        <w:rPr>
          <w:rFonts w:hint="eastAsia"/>
        </w:rPr>
      </w:pPr>
      <w:r>
        <w:rPr>
          <w:rFonts w:hint="eastAsia"/>
          <w:lang w:eastAsia="zh-CN"/>
        </w:rPr>
        <w:t>投标人</w:t>
      </w:r>
      <w:r>
        <w:rPr>
          <w:rFonts w:hint="eastAsia"/>
        </w:rPr>
        <w:t>（盖章）：</w:t>
      </w:r>
    </w:p>
    <w:p>
      <w:pPr>
        <w:ind w:firstLine="6300" w:firstLineChars="3000"/>
        <w:rPr>
          <w:rFonts w:hint="eastAsia"/>
        </w:rPr>
      </w:pPr>
      <w:r>
        <w:rPr>
          <w:rFonts w:hint="eastAsia"/>
        </w:rPr>
        <w:t>日期：</w:t>
      </w:r>
    </w:p>
    <w:p>
      <w:pPr>
        <w:rPr>
          <w:rFonts w:hint="eastAsia"/>
        </w:rPr>
      </w:pPr>
    </w:p>
    <w:p>
      <w:pPr>
        <w:rPr>
          <w:rFonts w:hint="eastAsia"/>
        </w:rPr>
      </w:pPr>
      <w:r>
        <w:rPr>
          <w:rFonts w:hint="eastAsia"/>
        </w:rPr>
        <w:t>从业人员、营业收入、资产总额填报上一年度数据，无上一年度数据的新成立企业可不填报。</w:t>
      </w:r>
    </w:p>
    <w:p>
      <w:pPr>
        <w:spacing w:line="360" w:lineRule="auto"/>
        <w:rPr>
          <w:rFonts w:hint="eastAsia" w:ascii="宋体" w:hAnsi="宋体" w:cs="宋体"/>
          <w:b/>
          <w:lang w:val="en-US" w:eastAsia="zh-CN"/>
        </w:rPr>
      </w:pPr>
      <w:r>
        <w:rPr>
          <w:rFonts w:hint="eastAsia" w:ascii="宋体" w:hAnsi="宋体" w:cs="宋体"/>
          <w:b/>
          <w:lang w:val="en-US" w:eastAsia="zh-CN"/>
        </w:rPr>
        <w:t>说明 ：</w:t>
      </w:r>
    </w:p>
    <w:p>
      <w:pPr>
        <w:spacing w:line="360" w:lineRule="auto"/>
        <w:rPr>
          <w:rFonts w:hint="default" w:ascii="宋体" w:hAnsi="宋体" w:cs="宋体"/>
          <w:b/>
          <w:lang w:val="en-US" w:eastAsia="zh-CN"/>
        </w:rPr>
      </w:pPr>
      <w:r>
        <w:rPr>
          <w:rFonts w:hint="eastAsia" w:ascii="宋体" w:hAnsi="宋体" w:cs="宋体"/>
          <w:b/>
          <w:lang w:val="en-US" w:eastAsia="zh-CN"/>
        </w:rPr>
        <w:t>1.供应商所提供的中小企业声明函中“标的名称”必须包含本项目所有（共248项）货物，且所有货物均由中小企业制造。</w:t>
      </w:r>
    </w:p>
    <w:p>
      <w:pPr>
        <w:tabs>
          <w:tab w:val="left" w:pos="1680"/>
        </w:tabs>
        <w:snapToGrid w:val="0"/>
        <w:spacing w:line="276" w:lineRule="auto"/>
        <w:jc w:val="both"/>
        <w:rPr>
          <w:rFonts w:hint="eastAsia" w:ascii="宋体" w:hAnsi="宋体" w:eastAsia="宋体" w:cs="宋体"/>
          <w:b/>
        </w:rPr>
      </w:pPr>
      <w:r>
        <w:rPr>
          <w:rFonts w:hint="eastAsia" w:ascii="宋体" w:hAnsi="宋体" w:cs="宋体"/>
          <w:b/>
          <w:lang w:val="en-US" w:eastAsia="zh-CN"/>
        </w:rPr>
        <w:t>2.</w:t>
      </w:r>
      <w:r>
        <w:rPr>
          <w:rFonts w:hint="eastAsia" w:ascii="宋体" w:hAnsi="宋体" w:cs="宋体"/>
          <w:b/>
          <w:lang w:eastAsia="zh-CN"/>
        </w:rPr>
        <w:t>中标</w:t>
      </w:r>
      <w:r>
        <w:rPr>
          <w:rFonts w:hint="eastAsia" w:ascii="宋体" w:hAnsi="宋体" w:eastAsia="宋体" w:cs="宋体"/>
          <w:b/>
        </w:rPr>
        <w:t>供应商为</w:t>
      </w:r>
      <w:r>
        <w:rPr>
          <w:rFonts w:hint="eastAsia" w:ascii="宋体" w:hAnsi="宋体" w:cs="宋体"/>
          <w:b/>
          <w:lang w:eastAsia="zh-CN"/>
        </w:rPr>
        <w:t>中、小</w:t>
      </w:r>
      <w:r>
        <w:rPr>
          <w:rFonts w:hint="eastAsia" w:ascii="宋体" w:hAnsi="宋体" w:eastAsia="宋体" w:cs="宋体"/>
          <w:b/>
          <w:lang w:eastAsia="zh-CN"/>
        </w:rPr>
        <w:t>企业</w:t>
      </w:r>
      <w:r>
        <w:rPr>
          <w:rFonts w:hint="eastAsia" w:ascii="宋体" w:hAnsi="宋体" w:eastAsia="宋体" w:cs="宋体"/>
          <w:b/>
        </w:rPr>
        <w:t>的，集采机构随成交结果同时公告其《</w:t>
      </w:r>
      <w:r>
        <w:rPr>
          <w:rFonts w:hint="eastAsia" w:ascii="宋体" w:hAnsi="宋体" w:cs="宋体"/>
          <w:b/>
          <w:lang w:eastAsia="zh-CN"/>
        </w:rPr>
        <w:t>中小</w:t>
      </w:r>
      <w:r>
        <w:rPr>
          <w:rFonts w:hint="eastAsia" w:ascii="宋体" w:hAnsi="宋体" w:eastAsia="宋体" w:cs="宋体"/>
          <w:b/>
        </w:rPr>
        <w:t>企业声明函》</w:t>
      </w:r>
    </w:p>
    <w:p>
      <w:pPr>
        <w:pStyle w:val="2"/>
        <w:rPr>
          <w:rFonts w:hint="eastAsia"/>
        </w:rPr>
      </w:pPr>
    </w:p>
    <w:p>
      <w:pPr>
        <w:spacing w:line="360" w:lineRule="auto"/>
        <w:outlineLvl w:val="9"/>
        <w:rPr>
          <w:rFonts w:hint="eastAsia" w:ascii="宋体" w:hAnsi="宋体" w:eastAsia="宋体" w:cs="宋体"/>
          <w:b/>
          <w:spacing w:val="6"/>
          <w:sz w:val="24"/>
          <w:szCs w:val="24"/>
        </w:rPr>
      </w:pPr>
      <w:r>
        <w:rPr>
          <w:rFonts w:hint="eastAsia" w:ascii="宋体" w:hAnsi="宋体" w:eastAsia="宋体" w:cs="宋体"/>
          <w:b/>
          <w:spacing w:val="6"/>
          <w:sz w:val="24"/>
          <w:szCs w:val="24"/>
        </w:rPr>
        <w:t>残疾人福利性单位声明函</w:t>
      </w:r>
      <w:r>
        <w:rPr>
          <w:rFonts w:hint="eastAsia" w:ascii="宋体" w:hAnsi="宋体" w:eastAsia="宋体" w:cs="宋体"/>
          <w:b/>
          <w:sz w:val="24"/>
          <w:szCs w:val="24"/>
        </w:rPr>
        <w:t>格式</w:t>
      </w:r>
    </w:p>
    <w:p>
      <w:pPr>
        <w:spacing w:line="360" w:lineRule="auto"/>
        <w:jc w:val="center"/>
        <w:outlineLvl w:val="9"/>
        <w:rPr>
          <w:rFonts w:hint="eastAsia" w:ascii="宋体" w:hAnsi="宋体" w:eastAsia="宋体" w:cs="宋体"/>
          <w:b/>
          <w:sz w:val="24"/>
          <w:szCs w:val="24"/>
        </w:rPr>
      </w:pPr>
      <w:r>
        <w:rPr>
          <w:rFonts w:hint="eastAsia" w:ascii="宋体" w:hAnsi="宋体" w:eastAsia="宋体" w:cs="宋体"/>
          <w:b/>
          <w:spacing w:val="6"/>
          <w:sz w:val="24"/>
          <w:szCs w:val="24"/>
        </w:rPr>
        <w:t>残疾人福利性单位声明函</w:t>
      </w:r>
    </w:p>
    <w:p>
      <w:pPr>
        <w:spacing w:line="360" w:lineRule="auto"/>
        <w:ind w:firstLine="444" w:firstLineChars="200"/>
        <w:outlineLvl w:val="9"/>
        <w:rPr>
          <w:rFonts w:hint="eastAsia" w:ascii="宋体" w:hAnsi="宋体" w:eastAsia="宋体" w:cs="宋体"/>
          <w:spacing w:val="6"/>
          <w:szCs w:val="21"/>
        </w:rPr>
      </w:pPr>
      <w:r>
        <w:rPr>
          <w:rFonts w:hint="eastAsia" w:ascii="宋体" w:hAnsi="宋体" w:eastAsia="宋体" w:cs="宋体"/>
          <w:spacing w:val="6"/>
          <w:szCs w:val="21"/>
        </w:rPr>
        <w:t>本单位郑重声明，根据《财政部 民政部 中国残疾人联合会关于促进残疾人就业政府采购政策的通知》（财库</w:t>
      </w:r>
      <w:r>
        <w:rPr>
          <w:rFonts w:hint="eastAsia" w:ascii="宋体" w:hAnsi="宋体" w:eastAsia="宋体" w:cs="宋体"/>
          <w:szCs w:val="21"/>
        </w:rPr>
        <w:t>〔2017〕 141</w:t>
      </w:r>
      <w:r>
        <w:rPr>
          <w:rFonts w:hint="eastAsia" w:ascii="宋体" w:hAnsi="宋体" w:eastAsia="宋体" w:cs="宋体"/>
          <w:spacing w:val="6"/>
          <w:szCs w:val="21"/>
        </w:rPr>
        <w:t>号）的规定，本单位为符合条件的残疾人福利性单位，且本单位参加______单位的______项目（项目编号：__________________）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outlineLvl w:val="9"/>
        <w:rPr>
          <w:rFonts w:hint="eastAsia" w:ascii="宋体" w:hAnsi="宋体" w:eastAsia="宋体" w:cs="宋体"/>
          <w:spacing w:val="6"/>
          <w:szCs w:val="21"/>
        </w:rPr>
      </w:pPr>
      <w:r>
        <w:rPr>
          <w:rFonts w:hint="eastAsia" w:ascii="宋体" w:hAnsi="宋体" w:eastAsia="宋体" w:cs="宋体"/>
          <w:spacing w:val="6"/>
          <w:szCs w:val="21"/>
        </w:rPr>
        <w:t>本单位对上述声明的真实性负责。如有虚假，将依法承担相应责任。</w:t>
      </w:r>
    </w:p>
    <w:p>
      <w:pPr>
        <w:tabs>
          <w:tab w:val="left" w:pos="4860"/>
        </w:tabs>
        <w:spacing w:line="360" w:lineRule="auto"/>
        <w:ind w:right="1560" w:firstLine="420" w:firstLineChars="200"/>
        <w:jc w:val="right"/>
        <w:outlineLvl w:val="9"/>
        <w:rPr>
          <w:rFonts w:hint="eastAsia" w:ascii="宋体" w:hAnsi="宋体" w:eastAsia="宋体" w:cs="宋体"/>
          <w:spacing w:val="6"/>
          <w:szCs w:val="21"/>
        </w:rPr>
      </w:pPr>
      <w:r>
        <w:rPr>
          <w:rFonts w:hint="eastAsia" w:ascii="宋体" w:hAnsi="宋体" w:eastAsia="宋体" w:cs="宋体"/>
          <w:szCs w:val="21"/>
          <w:lang w:eastAsia="zh-CN"/>
        </w:rPr>
        <w:t>投标</w:t>
      </w:r>
      <w:r>
        <w:rPr>
          <w:rFonts w:hint="eastAsia" w:ascii="宋体" w:hAnsi="宋体" w:eastAsia="宋体" w:cs="宋体"/>
          <w:szCs w:val="21"/>
        </w:rPr>
        <w:t>人： （</w:t>
      </w:r>
      <w:r>
        <w:rPr>
          <w:rFonts w:hint="eastAsia" w:ascii="宋体" w:hAnsi="宋体" w:cs="宋体"/>
          <w:szCs w:val="21"/>
          <w:lang w:eastAsia="zh-CN"/>
        </w:rPr>
        <w:t>公</w:t>
      </w:r>
      <w:r>
        <w:rPr>
          <w:rFonts w:hint="eastAsia" w:ascii="宋体" w:hAnsi="宋体" w:eastAsia="宋体" w:cs="宋体"/>
          <w:spacing w:val="20"/>
          <w:szCs w:val="21"/>
        </w:rPr>
        <w:t>章</w:t>
      </w:r>
      <w:r>
        <w:rPr>
          <w:rFonts w:hint="eastAsia" w:ascii="宋体" w:hAnsi="宋体" w:eastAsia="宋体" w:cs="宋体"/>
          <w:szCs w:val="21"/>
        </w:rPr>
        <w:t>）</w:t>
      </w:r>
    </w:p>
    <w:p>
      <w:pPr>
        <w:tabs>
          <w:tab w:val="left" w:pos="4860"/>
        </w:tabs>
        <w:spacing w:line="360" w:lineRule="auto"/>
        <w:ind w:right="1560" w:firstLine="444" w:firstLineChars="200"/>
        <w:jc w:val="right"/>
        <w:outlineLvl w:val="9"/>
        <w:rPr>
          <w:rFonts w:hint="eastAsia" w:ascii="宋体" w:hAnsi="宋体" w:eastAsia="宋体" w:cs="宋体"/>
          <w:spacing w:val="6"/>
          <w:szCs w:val="21"/>
        </w:rPr>
      </w:pPr>
      <w:r>
        <w:rPr>
          <w:rFonts w:hint="eastAsia" w:ascii="宋体" w:hAnsi="宋体" w:eastAsia="宋体" w:cs="宋体"/>
          <w:spacing w:val="6"/>
          <w:szCs w:val="21"/>
        </w:rPr>
        <w:t>日  期：</w:t>
      </w:r>
    </w:p>
    <w:p>
      <w:pPr>
        <w:spacing w:line="360" w:lineRule="auto"/>
        <w:ind w:firstLine="422" w:firstLineChars="200"/>
        <w:outlineLvl w:val="9"/>
        <w:rPr>
          <w:rFonts w:hint="eastAsia" w:ascii="宋体" w:hAnsi="宋体" w:eastAsia="宋体" w:cs="宋体"/>
          <w:b/>
          <w:szCs w:val="21"/>
        </w:rPr>
      </w:pPr>
      <w:r>
        <w:rPr>
          <w:rFonts w:hint="eastAsia" w:ascii="宋体" w:hAnsi="宋体" w:eastAsia="宋体" w:cs="宋体"/>
          <w:b/>
          <w:szCs w:val="21"/>
        </w:rPr>
        <w:t>注：成交供应商为残疾人福利性单位的，集采机构随成交结果同时公告其《残疾人福利性单位声明函》</w:t>
      </w:r>
    </w:p>
    <w:p>
      <w:pPr>
        <w:pStyle w:val="3"/>
        <w:tabs>
          <w:tab w:val="left" w:pos="1155"/>
        </w:tabs>
        <w:rPr>
          <w:rFonts w:hint="eastAsia" w:ascii="宋体" w:hAnsi="宋体" w:eastAsia="宋体" w:cs="宋体"/>
          <w:b/>
          <w:bCs/>
          <w:sz w:val="24"/>
          <w:szCs w:val="24"/>
          <w:lang w:eastAsia="zh-CN"/>
        </w:rPr>
      </w:pPr>
      <w:r>
        <w:rPr>
          <w:rFonts w:hint="eastAsia" w:ascii="宋体" w:hAnsi="宋体" w:eastAsia="宋体" w:cs="宋体"/>
          <w:b/>
          <w:bCs/>
          <w:kern w:val="2"/>
          <w:sz w:val="24"/>
          <w:szCs w:val="24"/>
          <w:lang w:val="en-US" w:eastAsia="zh-CN" w:bidi="ar-SA"/>
        </w:rPr>
        <w:t>监狱企业证明文件及相关证明材料</w:t>
      </w:r>
    </w:p>
    <w:p>
      <w:pPr>
        <w:pStyle w:val="2"/>
        <w:tabs>
          <w:tab w:val="left" w:pos="1155"/>
        </w:tabs>
        <w:rPr>
          <w:rFonts w:hint="eastAsia"/>
          <w:lang w:eastAsia="zh-CN"/>
        </w:rPr>
      </w:pPr>
      <w:r>
        <w:rPr>
          <w:rFonts w:hint="eastAsia"/>
          <w:lang w:eastAsia="zh-CN"/>
        </w:rPr>
        <w:t>（1）根据《关于政府采购支持监狱企业发展有关问题的通知》（财库[2014]68号）的规定，符合规定要求的供应商视同为小型和微型企业。</w:t>
      </w:r>
    </w:p>
    <w:p>
      <w:pPr>
        <w:pStyle w:val="2"/>
        <w:tabs>
          <w:tab w:val="left" w:pos="1155"/>
        </w:tabs>
        <w:rPr>
          <w:rFonts w:hint="eastAsia" w:ascii="宋体" w:hAnsi="宋体" w:eastAsia="宋体" w:cs="宋体"/>
          <w:b/>
          <w:bCs w:val="0"/>
          <w:color w:val="auto"/>
          <w:sz w:val="24"/>
          <w:szCs w:val="24"/>
          <w:highlight w:val="none"/>
        </w:rPr>
      </w:pPr>
      <w:r>
        <w:rPr>
          <w:rFonts w:hint="eastAsia"/>
          <w:lang w:eastAsia="zh-CN"/>
        </w:rPr>
        <w:t>（2）监狱企业证明文件：省级或以上监狱管理局、戒毒管理局（含新疆生产建设兵团）出具的属于监狱企业的证明文件，如提供其他监狱企业制造的货物，还须同时提供该企业为监狱企业的证明文件。提供复印件加盖投标响应供应商公章</w:t>
      </w:r>
    </w:p>
    <w:p>
      <w:pPr>
        <w:pageBreakBefore w:val="0"/>
        <w:kinsoku/>
        <w:bidi w:val="0"/>
        <w:spacing w:line="360" w:lineRule="auto"/>
        <w:ind w:left="360" w:hanging="361" w:hangingChars="150"/>
        <w:outlineLvl w:val="9"/>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eastAsia="zh-CN"/>
        </w:rPr>
        <w:t>（四）</w:t>
      </w:r>
      <w:r>
        <w:rPr>
          <w:rFonts w:hint="eastAsia" w:ascii="宋体" w:hAnsi="宋体" w:eastAsia="宋体" w:cs="宋体"/>
          <w:b/>
          <w:bCs w:val="0"/>
          <w:color w:val="auto"/>
          <w:sz w:val="24"/>
          <w:szCs w:val="24"/>
          <w:highlight w:val="none"/>
        </w:rPr>
        <w:t>基本</w:t>
      </w:r>
      <w:r>
        <w:rPr>
          <w:rFonts w:hint="eastAsia" w:ascii="宋体" w:hAnsi="宋体" w:eastAsia="宋体" w:cs="宋体"/>
          <w:b/>
          <w:bCs w:val="0"/>
          <w:color w:val="auto"/>
          <w:sz w:val="24"/>
          <w:szCs w:val="24"/>
          <w:highlight w:val="none"/>
          <w:lang w:eastAsia="zh-CN"/>
        </w:rPr>
        <w:t>存款</w:t>
      </w:r>
      <w:r>
        <w:rPr>
          <w:rFonts w:hint="eastAsia" w:ascii="宋体" w:hAnsi="宋体" w:eastAsia="宋体" w:cs="宋体"/>
          <w:b/>
          <w:bCs w:val="0"/>
          <w:color w:val="auto"/>
          <w:sz w:val="24"/>
          <w:szCs w:val="24"/>
          <w:highlight w:val="none"/>
        </w:rPr>
        <w:t>账户</w:t>
      </w:r>
      <w:r>
        <w:rPr>
          <w:rFonts w:hint="eastAsia" w:ascii="宋体" w:hAnsi="宋体" w:eastAsia="宋体" w:cs="宋体"/>
          <w:b/>
          <w:bCs w:val="0"/>
          <w:color w:val="auto"/>
          <w:sz w:val="24"/>
          <w:szCs w:val="24"/>
          <w:highlight w:val="none"/>
          <w:lang w:eastAsia="zh-CN"/>
        </w:rPr>
        <w:t>信息</w:t>
      </w:r>
    </w:p>
    <w:p>
      <w:pPr>
        <w:pageBreakBefore w:val="0"/>
        <w:kinsoku/>
        <w:bidi w:val="0"/>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提供基本</w:t>
      </w:r>
      <w:r>
        <w:rPr>
          <w:rFonts w:hint="eastAsia" w:ascii="宋体" w:hAnsi="宋体" w:eastAsia="宋体" w:cs="宋体"/>
          <w:color w:val="auto"/>
          <w:sz w:val="24"/>
          <w:szCs w:val="24"/>
          <w:highlight w:val="none"/>
          <w:lang w:eastAsia="zh-CN"/>
        </w:rPr>
        <w:t>存款</w:t>
      </w:r>
      <w:r>
        <w:rPr>
          <w:rFonts w:hint="eastAsia" w:ascii="宋体" w:hAnsi="宋体" w:eastAsia="宋体" w:cs="宋体"/>
          <w:color w:val="auto"/>
          <w:sz w:val="24"/>
          <w:szCs w:val="24"/>
          <w:highlight w:val="none"/>
        </w:rPr>
        <w:t>账户</w:t>
      </w:r>
      <w:r>
        <w:rPr>
          <w:rFonts w:hint="eastAsia" w:ascii="宋体" w:hAnsi="宋体" w:eastAsia="宋体" w:cs="宋体"/>
          <w:color w:val="auto"/>
          <w:sz w:val="24"/>
          <w:szCs w:val="24"/>
          <w:highlight w:val="none"/>
          <w:lang w:eastAsia="zh-CN"/>
        </w:rPr>
        <w:t>信息复印件</w:t>
      </w:r>
      <w:r>
        <w:rPr>
          <w:rFonts w:hint="eastAsia" w:ascii="宋体" w:hAnsi="宋体" w:eastAsia="宋体" w:cs="宋体"/>
          <w:color w:val="auto"/>
          <w:sz w:val="24"/>
          <w:szCs w:val="24"/>
          <w:highlight w:val="none"/>
        </w:rPr>
        <w:t>。</w:t>
      </w:r>
    </w:p>
    <w:p>
      <w:pPr>
        <w:pStyle w:val="2"/>
        <w:ind w:left="0" w:leftChars="0" w:firstLine="0" w:firstLineChars="0"/>
        <w:rPr>
          <w:rFonts w:hint="eastAsia" w:eastAsia="宋体"/>
          <w:lang w:eastAsia="zh-CN"/>
        </w:rPr>
      </w:pPr>
      <w:r>
        <w:rPr>
          <w:rFonts w:hint="eastAsia" w:ascii="宋体" w:hAnsi="宋体" w:cs="宋体"/>
          <w:color w:val="auto"/>
          <w:sz w:val="24"/>
          <w:szCs w:val="24"/>
          <w:highlight w:val="none"/>
          <w:lang w:eastAsia="zh-CN"/>
        </w:rPr>
        <w:t>（五）</w:t>
      </w:r>
      <w:r>
        <w:rPr>
          <w:rFonts w:hint="eastAsia" w:ascii="宋体" w:hAnsi="宋体" w:cs="宋体"/>
          <w:b w:val="0"/>
          <w:bCs w:val="0"/>
          <w:sz w:val="21"/>
          <w:szCs w:val="21"/>
          <w:lang w:eastAsia="zh-CN"/>
        </w:rPr>
        <w:t>招标</w:t>
      </w:r>
      <w:r>
        <w:rPr>
          <w:rFonts w:hint="eastAsia" w:ascii="宋体" w:hAnsi="宋体" w:eastAsia="宋体" w:cs="宋体"/>
          <w:b w:val="0"/>
          <w:bCs w:val="0"/>
          <w:sz w:val="21"/>
          <w:szCs w:val="21"/>
        </w:rPr>
        <w:t>文件要求</w:t>
      </w:r>
      <w:r>
        <w:rPr>
          <w:rFonts w:hint="eastAsia" w:ascii="宋体" w:hAnsi="宋体" w:eastAsia="宋体" w:cs="宋体"/>
          <w:b w:val="0"/>
          <w:bCs w:val="0"/>
          <w:sz w:val="21"/>
          <w:szCs w:val="21"/>
          <w:lang w:eastAsia="zh-CN"/>
        </w:rPr>
        <w:t>或</w:t>
      </w:r>
      <w:r>
        <w:rPr>
          <w:rFonts w:hint="eastAsia" w:ascii="宋体" w:hAnsi="宋体" w:cs="宋体"/>
          <w:b w:val="0"/>
          <w:bCs w:val="0"/>
          <w:sz w:val="21"/>
          <w:szCs w:val="21"/>
          <w:lang w:eastAsia="zh-CN"/>
        </w:rPr>
        <w:t>投标人</w:t>
      </w:r>
      <w:r>
        <w:rPr>
          <w:rFonts w:hint="eastAsia" w:ascii="宋体" w:hAnsi="宋体" w:eastAsia="宋体" w:cs="宋体"/>
          <w:b w:val="0"/>
          <w:bCs w:val="0"/>
          <w:sz w:val="21"/>
          <w:szCs w:val="21"/>
        </w:rPr>
        <w:t>认为需要提供的其他资格证明文件</w:t>
      </w:r>
    </w:p>
    <w:p>
      <w:pPr>
        <w:spacing w:line="360" w:lineRule="auto"/>
      </w:pPr>
    </w:p>
    <w:p>
      <w:pPr>
        <w:rPr>
          <w:rFonts w:hint="eastAsia" w:ascii="华文中宋" w:hAnsi="华文中宋" w:eastAsia="华文中宋"/>
          <w:b/>
        </w:rPr>
      </w:pPr>
    </w:p>
    <w:p>
      <w:pPr>
        <w:rPr>
          <w:rFonts w:hint="eastAsia" w:ascii="华文中宋" w:hAnsi="华文中宋" w:eastAsia="华文中宋"/>
          <w:b/>
        </w:rPr>
      </w:pPr>
    </w:p>
    <w:p>
      <w:pPr>
        <w:rPr>
          <w:rFonts w:hint="eastAsia" w:ascii="华文中宋" w:hAnsi="华文中宋" w:eastAsia="华文中宋"/>
          <w:b/>
        </w:rPr>
      </w:pPr>
    </w:p>
    <w:p>
      <w:pPr>
        <w:pStyle w:val="2"/>
        <w:ind w:left="0" w:leftChars="0" w:firstLine="0" w:firstLineChars="0"/>
        <w:rPr>
          <w:rFonts w:hint="eastAsia"/>
        </w:rPr>
      </w:pPr>
    </w:p>
    <w:p>
      <w:pPr>
        <w:rPr>
          <w:rFonts w:hint="eastAsia" w:ascii="华文中宋" w:hAnsi="华文中宋" w:eastAsia="华文中宋"/>
          <w:b/>
        </w:rPr>
      </w:pPr>
    </w:p>
    <w:p>
      <w:pPr>
        <w:rPr>
          <w:rFonts w:ascii="华文中宋" w:hAnsi="华文中宋" w:eastAsia="华文中宋"/>
          <w:b/>
        </w:rPr>
      </w:pPr>
      <w:r>
        <w:rPr>
          <w:rFonts w:hint="eastAsia" w:ascii="华文中宋" w:hAnsi="华文中宋" w:eastAsia="华文中宋"/>
          <w:b/>
        </w:rPr>
        <w:t>封面格式</w:t>
      </w:r>
    </w:p>
    <w:p>
      <w:pPr>
        <w:jc w:val="center"/>
        <w:rPr>
          <w:rFonts w:ascii="华文中宋" w:hAnsi="华文中宋" w:eastAsia="华文中宋"/>
          <w:sz w:val="48"/>
          <w:szCs w:val="48"/>
        </w:rPr>
      </w:pPr>
    </w:p>
    <w:p>
      <w:pPr>
        <w:jc w:val="center"/>
        <w:rPr>
          <w:rFonts w:ascii="华文中宋" w:hAnsi="华文中宋" w:eastAsia="华文中宋"/>
          <w:b/>
          <w:spacing w:val="60"/>
          <w:sz w:val="52"/>
          <w:szCs w:val="52"/>
        </w:rPr>
      </w:pPr>
      <w:r>
        <w:rPr>
          <w:rFonts w:hint="eastAsia" w:ascii="华文中宋" w:hAnsi="华文中宋" w:eastAsia="华文中宋"/>
          <w:b/>
          <w:spacing w:val="60"/>
          <w:sz w:val="52"/>
          <w:szCs w:val="52"/>
        </w:rPr>
        <w:t>(</w:t>
      </w:r>
      <w:r>
        <w:rPr>
          <w:rFonts w:hint="eastAsia" w:ascii="宋体" w:hAnsi="宋体" w:cs="宋体"/>
          <w:b/>
          <w:spacing w:val="60"/>
          <w:sz w:val="52"/>
          <w:szCs w:val="52"/>
        </w:rPr>
        <w:t>项</w:t>
      </w:r>
      <w:r>
        <w:rPr>
          <w:rFonts w:hint="eastAsia" w:ascii="Dotum" w:hAnsi="Dotum" w:eastAsia="Dotum" w:cs="Dotum"/>
          <w:b/>
          <w:spacing w:val="60"/>
          <w:sz w:val="52"/>
          <w:szCs w:val="52"/>
        </w:rPr>
        <w:t>目名</w:t>
      </w:r>
      <w:r>
        <w:rPr>
          <w:rFonts w:hint="eastAsia" w:ascii="宋体" w:hAnsi="宋体" w:cs="宋体"/>
          <w:b/>
          <w:spacing w:val="60"/>
          <w:sz w:val="52"/>
          <w:szCs w:val="52"/>
        </w:rPr>
        <w:t>称</w:t>
      </w:r>
      <w:r>
        <w:rPr>
          <w:rFonts w:hint="eastAsia" w:ascii="华文中宋" w:hAnsi="华文中宋" w:eastAsia="华文中宋"/>
          <w:b/>
          <w:spacing w:val="60"/>
          <w:sz w:val="52"/>
          <w:szCs w:val="52"/>
        </w:rPr>
        <w:t>)</w:t>
      </w:r>
      <w:r>
        <w:rPr>
          <w:rFonts w:hint="eastAsia" w:ascii="宋体" w:hAnsi="宋体" w:cs="宋体"/>
          <w:b/>
          <w:spacing w:val="60"/>
          <w:sz w:val="52"/>
          <w:szCs w:val="52"/>
        </w:rPr>
        <w:t>项</w:t>
      </w:r>
      <w:r>
        <w:rPr>
          <w:rFonts w:hint="eastAsia" w:ascii="Dotum" w:hAnsi="Dotum" w:eastAsia="Dotum" w:cs="Dotum"/>
          <w:b/>
          <w:spacing w:val="60"/>
          <w:sz w:val="52"/>
          <w:szCs w:val="52"/>
        </w:rPr>
        <w:t>目</w:t>
      </w:r>
    </w:p>
    <w:p>
      <w:pPr>
        <w:rPr>
          <w:rFonts w:ascii="华文中宋" w:hAnsi="华文中宋" w:eastAsia="华文中宋"/>
          <w:sz w:val="30"/>
          <w:szCs w:val="30"/>
        </w:rPr>
      </w:pPr>
    </w:p>
    <w:p>
      <w:pPr>
        <w:ind w:firstLine="1190" w:firstLineChars="350"/>
        <w:rPr>
          <w:rFonts w:ascii="华文中宋" w:hAnsi="华文中宋" w:eastAsia="华文中宋"/>
          <w:spacing w:val="20"/>
          <w:sz w:val="30"/>
          <w:szCs w:val="30"/>
        </w:rPr>
      </w:pPr>
      <w:r>
        <w:rPr>
          <w:rFonts w:hint="eastAsia" w:ascii="宋体" w:hAnsi="宋体" w:cs="宋体"/>
          <w:spacing w:val="20"/>
          <w:sz w:val="30"/>
          <w:szCs w:val="30"/>
        </w:rPr>
        <w:t>项</w:t>
      </w:r>
      <w:r>
        <w:rPr>
          <w:rFonts w:hint="eastAsia" w:ascii="Dotum" w:hAnsi="Dotum" w:eastAsia="Dotum" w:cs="Dotum"/>
          <w:spacing w:val="20"/>
          <w:sz w:val="30"/>
          <w:szCs w:val="30"/>
        </w:rPr>
        <w:t>目</w:t>
      </w:r>
      <w:r>
        <w:rPr>
          <w:rFonts w:hint="eastAsia" w:ascii="宋体" w:hAnsi="宋体" w:cs="宋体"/>
          <w:spacing w:val="20"/>
          <w:sz w:val="30"/>
          <w:szCs w:val="30"/>
        </w:rPr>
        <w:t>编号</w:t>
      </w:r>
      <w:r>
        <w:rPr>
          <w:rFonts w:hint="eastAsia" w:ascii="Dotum" w:hAnsi="Dotum" w:eastAsia="Dotum" w:cs="Dotum"/>
          <w:spacing w:val="20"/>
          <w:sz w:val="30"/>
          <w:szCs w:val="30"/>
        </w:rPr>
        <w:t>：</w:t>
      </w:r>
    </w:p>
    <w:p>
      <w:pPr>
        <w:ind w:firstLine="1190" w:firstLineChars="350"/>
        <w:rPr>
          <w:rFonts w:ascii="华文中宋" w:hAnsi="华文中宋" w:eastAsia="华文中宋"/>
          <w:spacing w:val="20"/>
          <w:sz w:val="30"/>
          <w:szCs w:val="30"/>
        </w:rPr>
      </w:pPr>
      <w:r>
        <w:rPr>
          <w:rFonts w:hint="eastAsia" w:ascii="华文中宋" w:hAnsi="华文中宋" w:eastAsia="华文中宋"/>
          <w:spacing w:val="20"/>
          <w:sz w:val="30"/>
          <w:szCs w:val="30"/>
        </w:rPr>
        <w:t xml:space="preserve">包   </w:t>
      </w:r>
      <w:r>
        <w:rPr>
          <w:rFonts w:hint="eastAsia" w:ascii="宋体" w:hAnsi="宋体" w:cs="宋体"/>
          <w:spacing w:val="20"/>
          <w:sz w:val="30"/>
          <w:szCs w:val="30"/>
        </w:rPr>
        <w:t>号</w:t>
      </w:r>
      <w:r>
        <w:rPr>
          <w:rFonts w:hint="eastAsia" w:ascii="Dotum" w:hAnsi="Dotum" w:eastAsia="Dotum" w:cs="Dotum"/>
          <w:spacing w:val="20"/>
          <w:sz w:val="30"/>
          <w:szCs w:val="30"/>
        </w:rPr>
        <w:t>：</w:t>
      </w:r>
    </w:p>
    <w:p>
      <w:pPr>
        <w:ind w:firstLine="1190" w:firstLineChars="350"/>
        <w:rPr>
          <w:rFonts w:ascii="华文中宋" w:hAnsi="华文中宋" w:eastAsia="华文中宋"/>
          <w:spacing w:val="20"/>
          <w:sz w:val="30"/>
          <w:szCs w:val="30"/>
        </w:rPr>
      </w:pPr>
    </w:p>
    <w:p>
      <w:pPr>
        <w:jc w:val="center"/>
        <w:rPr>
          <w:rFonts w:ascii="宋体"/>
          <w:b/>
          <w:spacing w:val="20"/>
          <w:sz w:val="84"/>
          <w:szCs w:val="84"/>
        </w:rPr>
      </w:pPr>
      <w:r>
        <w:rPr>
          <w:rFonts w:hint="eastAsia" w:ascii="宋体" w:hAnsi="宋体"/>
          <w:b/>
          <w:spacing w:val="20"/>
          <w:sz w:val="84"/>
          <w:szCs w:val="84"/>
        </w:rPr>
        <w:t>投</w:t>
      </w:r>
    </w:p>
    <w:p>
      <w:pPr>
        <w:jc w:val="center"/>
        <w:rPr>
          <w:rFonts w:ascii="华文中宋" w:hAnsi="华文中宋" w:eastAsia="华文中宋"/>
          <w:b/>
          <w:spacing w:val="20"/>
          <w:sz w:val="84"/>
          <w:szCs w:val="84"/>
        </w:rPr>
      </w:pPr>
      <w:r>
        <w:rPr>
          <w:rFonts w:hint="eastAsia" w:ascii="宋体" w:hAnsi="宋体" w:cs="宋体"/>
          <w:b/>
          <w:spacing w:val="20"/>
          <w:sz w:val="84"/>
          <w:szCs w:val="84"/>
        </w:rPr>
        <w:t>标</w:t>
      </w:r>
    </w:p>
    <w:p>
      <w:pPr>
        <w:jc w:val="center"/>
        <w:rPr>
          <w:rFonts w:ascii="宋体"/>
          <w:b/>
          <w:spacing w:val="20"/>
          <w:sz w:val="84"/>
          <w:szCs w:val="84"/>
        </w:rPr>
      </w:pPr>
      <w:r>
        <w:rPr>
          <w:rFonts w:hint="eastAsia" w:ascii="宋体" w:hAnsi="宋体"/>
          <w:b/>
          <w:spacing w:val="20"/>
          <w:sz w:val="84"/>
          <w:szCs w:val="84"/>
        </w:rPr>
        <w:t>文</w:t>
      </w:r>
    </w:p>
    <w:p>
      <w:pPr>
        <w:jc w:val="center"/>
        <w:rPr>
          <w:rFonts w:ascii="宋体"/>
          <w:b/>
          <w:sz w:val="84"/>
          <w:szCs w:val="84"/>
        </w:rPr>
      </w:pPr>
      <w:r>
        <w:rPr>
          <w:rFonts w:hint="eastAsia" w:ascii="宋体" w:hAnsi="宋体"/>
          <w:b/>
          <w:spacing w:val="20"/>
          <w:sz w:val="84"/>
          <w:szCs w:val="84"/>
        </w:rPr>
        <w:t>件</w:t>
      </w:r>
    </w:p>
    <w:p>
      <w:pPr>
        <w:ind w:firstLine="2520" w:firstLineChars="700"/>
        <w:rPr>
          <w:rFonts w:ascii="华文中宋" w:hAnsi="华文中宋" w:eastAsia="华文中宋"/>
          <w:spacing w:val="20"/>
          <w:sz w:val="32"/>
          <w:szCs w:val="32"/>
        </w:rPr>
      </w:pPr>
      <w:r>
        <w:rPr>
          <w:rFonts w:hint="eastAsia" w:ascii="华文中宋" w:hAnsi="华文中宋" w:eastAsia="华文中宋"/>
          <w:spacing w:val="20"/>
          <w:sz w:val="32"/>
          <w:szCs w:val="32"/>
        </w:rPr>
        <w:t>（资格审查文件或符合性审查文件）</w:t>
      </w:r>
    </w:p>
    <w:p>
      <w:pPr>
        <w:jc w:val="center"/>
        <w:rPr>
          <w:rFonts w:ascii="华文中宋" w:hAnsi="华文中宋" w:eastAsia="华文中宋"/>
          <w:spacing w:val="20"/>
          <w:sz w:val="32"/>
          <w:szCs w:val="32"/>
        </w:rPr>
      </w:pPr>
    </w:p>
    <w:p>
      <w:pPr>
        <w:jc w:val="center"/>
        <w:rPr>
          <w:rFonts w:ascii="Arial" w:hAnsi="Arial" w:cs="Arial"/>
          <w:kern w:val="0"/>
          <w:sz w:val="32"/>
          <w:szCs w:val="32"/>
        </w:rPr>
      </w:pPr>
      <w:r>
        <w:rPr>
          <w:rFonts w:hint="eastAsia" w:ascii="Arial" w:hAnsi="Arial" w:cs="Arial"/>
          <w:kern w:val="0"/>
          <w:sz w:val="32"/>
          <w:szCs w:val="32"/>
          <w:lang w:eastAsia="zh-CN"/>
        </w:rPr>
        <w:t>投标人</w:t>
      </w:r>
      <w:r>
        <w:rPr>
          <w:rFonts w:hint="eastAsia" w:ascii="Arial" w:hAnsi="Arial" w:cs="Arial"/>
          <w:kern w:val="0"/>
          <w:sz w:val="32"/>
          <w:szCs w:val="32"/>
        </w:rPr>
        <w:t>单位名称：（加盖公章）</w:t>
      </w:r>
    </w:p>
    <w:p>
      <w:pPr>
        <w:jc w:val="center"/>
        <w:rPr>
          <w:rFonts w:ascii="Arial" w:hAnsi="Arial" w:cs="Arial"/>
          <w:kern w:val="0"/>
          <w:sz w:val="32"/>
          <w:szCs w:val="32"/>
        </w:rPr>
      </w:pPr>
      <w:r>
        <w:rPr>
          <w:rFonts w:hint="eastAsia" w:ascii="Arial" w:hAnsi="Arial" w:cs="Arial"/>
          <w:kern w:val="0"/>
          <w:sz w:val="32"/>
          <w:szCs w:val="32"/>
        </w:rPr>
        <w:t>二〇</w:t>
      </w:r>
      <w:r>
        <w:rPr>
          <w:rFonts w:hint="eastAsia" w:ascii="Arial" w:hAnsi="Arial" w:cs="Arial"/>
          <w:kern w:val="0"/>
          <w:sz w:val="32"/>
          <w:szCs w:val="32"/>
          <w:lang w:eastAsia="zh-CN"/>
        </w:rPr>
        <w:t>二</w:t>
      </w:r>
      <w:r>
        <w:rPr>
          <w:rFonts w:hint="eastAsia" w:ascii="Arial" w:hAnsi="Arial" w:cs="Arial"/>
          <w:kern w:val="0"/>
          <w:sz w:val="32"/>
          <w:szCs w:val="32"/>
          <w:lang w:val="en-US" w:eastAsia="zh-CN"/>
        </w:rPr>
        <w:t xml:space="preserve">  </w:t>
      </w:r>
      <w:r>
        <w:rPr>
          <w:rFonts w:hint="eastAsia" w:ascii="Arial" w:hAnsi="Arial" w:cs="Arial"/>
          <w:kern w:val="0"/>
          <w:sz w:val="32"/>
          <w:szCs w:val="32"/>
        </w:rPr>
        <w:t>年</w:t>
      </w:r>
      <w:r>
        <w:rPr>
          <w:rFonts w:hint="eastAsia" w:ascii="Arial" w:hAnsi="Arial" w:cs="Arial"/>
          <w:kern w:val="0"/>
          <w:sz w:val="32"/>
          <w:szCs w:val="32"/>
          <w:lang w:val="en-US" w:eastAsia="zh-CN"/>
        </w:rPr>
        <w:t xml:space="preserve">  </w:t>
      </w:r>
      <w:r>
        <w:rPr>
          <w:rFonts w:hint="eastAsia" w:ascii="Arial" w:hAnsi="Arial" w:cs="Arial"/>
          <w:kern w:val="0"/>
          <w:sz w:val="32"/>
          <w:szCs w:val="32"/>
        </w:rPr>
        <w:t>月</w:t>
      </w:r>
      <w:r>
        <w:rPr>
          <w:rFonts w:hint="eastAsia" w:ascii="Arial" w:hAnsi="Arial" w:cs="Arial"/>
          <w:kern w:val="0"/>
          <w:sz w:val="32"/>
          <w:szCs w:val="32"/>
          <w:lang w:val="en-US" w:eastAsia="zh-CN"/>
        </w:rPr>
        <w:t xml:space="preserve">  </w:t>
      </w:r>
      <w:r>
        <w:rPr>
          <w:rFonts w:hint="eastAsia" w:ascii="Arial" w:hAnsi="Arial" w:cs="Arial"/>
          <w:kern w:val="0"/>
          <w:sz w:val="32"/>
          <w:szCs w:val="32"/>
        </w:rPr>
        <w:t>日</w:t>
      </w:r>
    </w:p>
    <w:p>
      <w:pPr>
        <w:jc w:val="center"/>
        <w:rPr>
          <w:rFonts w:hint="eastAsia" w:ascii="Arial" w:hAnsi="Arial" w:cs="Arial"/>
          <w:kern w:val="0"/>
          <w:szCs w:val="21"/>
        </w:rPr>
      </w:pPr>
    </w:p>
    <w:p>
      <w:pPr>
        <w:jc w:val="center"/>
        <w:rPr>
          <w:rFonts w:hint="eastAsia" w:ascii="Arial" w:hAnsi="Arial" w:cs="Arial"/>
          <w:kern w:val="0"/>
          <w:szCs w:val="21"/>
        </w:rPr>
      </w:pPr>
    </w:p>
    <w:p>
      <w:pPr>
        <w:jc w:val="center"/>
        <w:rPr>
          <w:rFonts w:hint="eastAsia" w:ascii="Arial" w:hAnsi="Arial" w:cs="Arial"/>
          <w:kern w:val="0"/>
          <w:szCs w:val="21"/>
        </w:rPr>
      </w:pPr>
    </w:p>
    <w:p>
      <w:pPr>
        <w:jc w:val="center"/>
        <w:rPr>
          <w:rFonts w:hint="eastAsia" w:ascii="Arial" w:hAnsi="Arial" w:cs="Arial"/>
          <w:kern w:val="0"/>
          <w:szCs w:val="21"/>
        </w:rPr>
      </w:pPr>
    </w:p>
    <w:p>
      <w:pPr>
        <w:spacing w:line="480" w:lineRule="auto"/>
        <w:jc w:val="both"/>
        <w:rPr>
          <w:rFonts w:hint="eastAsia" w:ascii="宋体" w:hAnsi="宋体" w:cs="宋体"/>
          <w:b/>
          <w:sz w:val="24"/>
          <w:lang w:eastAsia="zh-CN"/>
        </w:rPr>
      </w:pPr>
      <w:bookmarkStart w:id="28" w:name="_Toc9539_WPSOffice_Level1"/>
    </w:p>
    <w:p>
      <w:pPr>
        <w:spacing w:line="480" w:lineRule="auto"/>
        <w:jc w:val="center"/>
        <w:rPr>
          <w:rFonts w:hint="eastAsia" w:ascii="宋体" w:hAnsi="宋体" w:eastAsia="宋体" w:cs="宋体"/>
          <w:b/>
          <w:sz w:val="24"/>
        </w:rPr>
      </w:pPr>
      <w:r>
        <w:rPr>
          <w:rFonts w:hint="eastAsia" w:ascii="宋体" w:hAnsi="宋体" w:cs="宋体"/>
          <w:b/>
          <w:sz w:val="24"/>
          <w:lang w:eastAsia="zh-CN"/>
        </w:rPr>
        <w:t>符</w:t>
      </w:r>
      <w:r>
        <w:rPr>
          <w:rFonts w:hint="eastAsia" w:ascii="宋体" w:hAnsi="宋体" w:cs="宋体"/>
          <w:b/>
          <w:sz w:val="24"/>
          <w:lang w:val="en-US" w:eastAsia="zh-CN"/>
        </w:rPr>
        <w:t xml:space="preserve"> </w:t>
      </w:r>
      <w:r>
        <w:rPr>
          <w:rFonts w:hint="eastAsia" w:ascii="宋体" w:hAnsi="宋体" w:cs="宋体"/>
          <w:b/>
          <w:sz w:val="24"/>
          <w:lang w:eastAsia="zh-CN"/>
        </w:rPr>
        <w:t>合</w:t>
      </w:r>
      <w:r>
        <w:rPr>
          <w:rFonts w:hint="eastAsia" w:ascii="宋体" w:hAnsi="宋体" w:cs="宋体"/>
          <w:b/>
          <w:sz w:val="24"/>
          <w:lang w:val="en-US" w:eastAsia="zh-CN"/>
        </w:rPr>
        <w:t xml:space="preserve"> </w:t>
      </w:r>
      <w:r>
        <w:rPr>
          <w:rFonts w:hint="eastAsia" w:ascii="宋体" w:hAnsi="宋体" w:cs="宋体"/>
          <w:b/>
          <w:sz w:val="24"/>
          <w:lang w:eastAsia="zh-CN"/>
        </w:rPr>
        <w:t>性</w:t>
      </w:r>
      <w:r>
        <w:rPr>
          <w:rFonts w:hint="eastAsia" w:ascii="宋体" w:hAnsi="宋体" w:eastAsia="宋体" w:cs="宋体"/>
          <w:b/>
          <w:sz w:val="24"/>
        </w:rPr>
        <w:t xml:space="preserve">  文  件</w:t>
      </w:r>
      <w:bookmarkEnd w:id="28"/>
    </w:p>
    <w:p>
      <w:pPr>
        <w:spacing w:line="480" w:lineRule="auto"/>
        <w:jc w:val="center"/>
        <w:rPr>
          <w:rFonts w:hint="eastAsia"/>
        </w:rPr>
      </w:pPr>
      <w:r>
        <w:rPr>
          <w:rFonts w:hint="eastAsia" w:ascii="宋体" w:hAnsi="宋体" w:eastAsia="宋体" w:cs="宋体"/>
          <w:b/>
          <w:sz w:val="24"/>
        </w:rPr>
        <w:t>目    录</w:t>
      </w:r>
    </w:p>
    <w:p>
      <w:pPr>
        <w:jc w:val="center"/>
        <w:rPr>
          <w:rFonts w:hint="eastAsia" w:ascii="Arial" w:hAnsi="Arial" w:cs="Arial"/>
          <w:kern w:val="0"/>
          <w:szCs w:val="21"/>
        </w:rPr>
      </w:pPr>
    </w:p>
    <w:p>
      <w:pPr>
        <w:jc w:val="center"/>
        <w:rPr>
          <w:rFonts w:hint="eastAsia" w:ascii="Arial" w:hAnsi="Arial" w:cs="Arial"/>
          <w:kern w:val="0"/>
          <w:szCs w:val="21"/>
        </w:rPr>
      </w:pPr>
    </w:p>
    <w:p>
      <w:pPr>
        <w:jc w:val="center"/>
        <w:rPr>
          <w:rFonts w:hint="eastAsia" w:ascii="Arial" w:hAnsi="Arial" w:cs="Arial"/>
          <w:kern w:val="0"/>
          <w:szCs w:val="21"/>
        </w:rPr>
      </w:pPr>
    </w:p>
    <w:p>
      <w:pPr>
        <w:spacing w:line="480" w:lineRule="auto"/>
        <w:jc w:val="both"/>
        <w:rPr>
          <w:rFonts w:hint="eastAsia" w:ascii="宋体" w:hAnsi="宋体" w:eastAsia="宋体" w:cs="宋体"/>
          <w:lang w:eastAsia="zh-CN"/>
        </w:rPr>
      </w:pPr>
      <w:r>
        <w:rPr>
          <w:rFonts w:hint="eastAsia" w:ascii="宋体" w:hAnsi="宋体" w:eastAsia="宋体" w:cs="宋体"/>
        </w:rPr>
        <w:t>1</w:t>
      </w:r>
      <w:r>
        <w:rPr>
          <w:rFonts w:hint="eastAsia" w:hAnsi="宋体" w:cs="宋体"/>
          <w:lang w:eastAsia="zh-CN"/>
        </w:rPr>
        <w:t>、投标函</w:t>
      </w:r>
      <w:r>
        <w:rPr>
          <w:rFonts w:hint="eastAsia" w:ascii="宋体" w:hAnsi="宋体" w:eastAsia="宋体" w:cs="宋体"/>
        </w:rPr>
        <w:t>…………………………………………………………………页码</w:t>
      </w:r>
    </w:p>
    <w:p>
      <w:pPr>
        <w:pStyle w:val="33"/>
        <w:snapToGrid w:val="0"/>
        <w:spacing w:line="360" w:lineRule="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对商务要求的响应内容…………………………………………………………………</w:t>
      </w:r>
    </w:p>
    <w:p>
      <w:pPr>
        <w:pStyle w:val="33"/>
        <w:snapToGrid w:val="0"/>
        <w:spacing w:line="360" w:lineRule="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、对实质性要求的响应内容………………………………………………………………</w:t>
      </w:r>
    </w:p>
    <w:p>
      <w:pPr>
        <w:pStyle w:val="33"/>
        <w:snapToGrid w:val="0"/>
        <w:spacing w:line="360" w:lineRule="auto"/>
        <w:ind w:firstLine="210" w:firstLineChars="100"/>
        <w:rPr>
          <w:rFonts w:hint="eastAsia" w:ascii="宋体" w:hAnsi="宋体" w:eastAsia="宋体" w:cs="宋体"/>
        </w:rPr>
      </w:pPr>
      <w:r>
        <w:rPr>
          <w:rFonts w:hint="eastAsia" w:ascii="宋体" w:hAnsi="宋体" w:eastAsia="宋体" w:cs="宋体"/>
        </w:rPr>
        <w:t>涉及政府采购政策要求内容（若有的话）</w:t>
      </w:r>
    </w:p>
    <w:p>
      <w:pPr>
        <w:pStyle w:val="33"/>
        <w:snapToGrid w:val="0"/>
        <w:spacing w:line="360" w:lineRule="auto"/>
        <w:rPr>
          <w:rFonts w:hint="eastAsia" w:ascii="宋体" w:hAnsi="宋体" w:eastAsia="宋体" w:cs="宋体"/>
        </w:rPr>
      </w:pPr>
      <w:r>
        <w:rPr>
          <w:rFonts w:hint="eastAsia" w:hAnsi="宋体" w:cs="宋体"/>
          <w:lang w:val="en-US" w:eastAsia="zh-CN"/>
        </w:rPr>
        <w:t>4</w:t>
      </w:r>
      <w:r>
        <w:rPr>
          <w:rFonts w:hint="eastAsia" w:ascii="宋体" w:hAnsi="宋体" w:eastAsia="宋体" w:cs="宋体"/>
        </w:rPr>
        <w:t>、对</w:t>
      </w:r>
      <w:r>
        <w:rPr>
          <w:rFonts w:hint="eastAsia" w:ascii="宋体" w:hAnsi="宋体" w:eastAsia="宋体" w:cs="宋体"/>
          <w:lang w:eastAsia="zh-CN"/>
        </w:rPr>
        <w:t>技术</w:t>
      </w:r>
      <w:r>
        <w:rPr>
          <w:rFonts w:hint="eastAsia" w:ascii="宋体" w:hAnsi="宋体" w:eastAsia="宋体" w:cs="宋体"/>
        </w:rPr>
        <w:t>要求的响应内容……………………………………………………………</w:t>
      </w:r>
    </w:p>
    <w:p>
      <w:pPr>
        <w:pStyle w:val="33"/>
        <w:snapToGrid w:val="0"/>
        <w:spacing w:line="360" w:lineRule="auto"/>
        <w:rPr>
          <w:rFonts w:hint="eastAsia" w:ascii="宋体" w:hAnsi="宋体" w:eastAsia="宋体" w:cs="宋体"/>
        </w:rPr>
      </w:pPr>
      <w:r>
        <w:rPr>
          <w:rFonts w:hint="eastAsia" w:hAnsi="宋体" w:cs="宋体"/>
          <w:lang w:val="en-US" w:eastAsia="zh-CN"/>
        </w:rPr>
        <w:t>5、</w:t>
      </w:r>
      <w:r>
        <w:rPr>
          <w:rFonts w:hint="eastAsia" w:ascii="宋体" w:hAnsi="宋体" w:eastAsia="宋体" w:cs="宋体"/>
        </w:rPr>
        <w:t>对非实质性要求的响应内容……………………………………………………………</w:t>
      </w:r>
    </w:p>
    <w:p>
      <w:pPr>
        <w:pStyle w:val="33"/>
        <w:snapToGrid w:val="0"/>
        <w:spacing w:line="360" w:lineRule="auto"/>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w:t>
      </w:r>
      <w:r>
        <w:rPr>
          <w:rFonts w:hint="eastAsia" w:hAnsi="宋体" w:cs="宋体"/>
          <w:lang w:eastAsia="zh-CN"/>
        </w:rPr>
        <w:t>招标</w:t>
      </w:r>
      <w:r>
        <w:rPr>
          <w:rFonts w:hint="eastAsia" w:ascii="宋体" w:hAnsi="宋体" w:eastAsia="宋体" w:cs="宋体"/>
        </w:rPr>
        <w:t>文件要求或</w:t>
      </w:r>
      <w:r>
        <w:rPr>
          <w:rFonts w:hint="eastAsia" w:hAnsi="宋体" w:cs="宋体"/>
          <w:lang w:eastAsia="zh-CN"/>
        </w:rPr>
        <w:t>投标人</w:t>
      </w:r>
      <w:r>
        <w:rPr>
          <w:rFonts w:hint="eastAsia" w:ascii="宋体" w:hAnsi="宋体" w:eastAsia="宋体" w:cs="宋体"/>
        </w:rPr>
        <w:t>认为需要提供的其他商务服务材料/文件……………</w:t>
      </w:r>
    </w:p>
    <w:p>
      <w:pPr>
        <w:spacing w:line="360" w:lineRule="auto"/>
        <w:rPr>
          <w:rFonts w:hint="eastAsia" w:ascii="宋体" w:hAnsi="宋体" w:eastAsia="宋体" w:cs="宋体"/>
          <w:szCs w:val="21"/>
          <w:lang w:val="en-US" w:eastAsia="zh-CN"/>
        </w:rPr>
      </w:pPr>
    </w:p>
    <w:p>
      <w:pPr>
        <w:pStyle w:val="33"/>
        <w:snapToGrid w:val="0"/>
        <w:spacing w:line="360" w:lineRule="auto"/>
        <w:rPr>
          <w:rFonts w:hint="eastAsia" w:ascii="宋体" w:hAnsi="宋体" w:eastAsia="宋体" w:cs="宋体"/>
        </w:rPr>
      </w:pPr>
    </w:p>
    <w:p>
      <w:pPr>
        <w:pageBreakBefore/>
        <w:spacing w:line="480" w:lineRule="exact"/>
        <w:ind w:firstLine="4216" w:firstLineChars="2000"/>
        <w:rPr>
          <w:rFonts w:ascii="华文中宋" w:hAnsi="华文中宋" w:eastAsia="华文中宋"/>
          <w:b/>
          <w:sz w:val="28"/>
          <w:szCs w:val="28"/>
        </w:rPr>
      </w:pPr>
      <w:r>
        <w:rPr>
          <w:rFonts w:hint="eastAsia" w:ascii="Arial" w:hAnsi="Arial" w:cs="Arial"/>
          <w:b/>
          <w:kern w:val="0"/>
          <w:szCs w:val="21"/>
        </w:rPr>
        <w:t>符合性审查格式内容</w:t>
      </w:r>
    </w:p>
    <w:p>
      <w:pPr>
        <w:spacing w:line="480" w:lineRule="exact"/>
        <w:rPr>
          <w:rFonts w:ascii="Arial" w:hAnsi="Arial" w:cs="Arial"/>
          <w:b/>
          <w:kern w:val="0"/>
          <w:szCs w:val="21"/>
        </w:rPr>
      </w:pPr>
      <w:r>
        <w:rPr>
          <w:rFonts w:hint="eastAsia" w:ascii="Arial" w:hAnsi="Arial" w:cs="Arial"/>
          <w:b/>
          <w:kern w:val="0"/>
          <w:szCs w:val="21"/>
        </w:rPr>
        <w:t>（一）投标函</w:t>
      </w:r>
    </w:p>
    <w:p>
      <w:pPr>
        <w:spacing w:line="480" w:lineRule="exact"/>
        <w:jc w:val="center"/>
        <w:rPr>
          <w:rFonts w:ascii="Arial" w:hAnsi="Arial" w:cs="Arial"/>
          <w:b/>
          <w:kern w:val="0"/>
          <w:szCs w:val="21"/>
        </w:rPr>
      </w:pPr>
      <w:r>
        <w:rPr>
          <w:rFonts w:hint="eastAsia" w:ascii="Arial" w:hAnsi="Arial" w:cs="Arial"/>
          <w:b/>
          <w:kern w:val="0"/>
          <w:szCs w:val="21"/>
        </w:rPr>
        <w:t>投标函</w:t>
      </w:r>
    </w:p>
    <w:p>
      <w:pPr>
        <w:keepNext w:val="0"/>
        <w:keepLines w:val="0"/>
        <w:pageBreakBefore w:val="0"/>
        <w:widowControl w:val="0"/>
        <w:kinsoku/>
        <w:wordWrap/>
        <w:overflowPunct/>
        <w:topLinePunct w:val="0"/>
        <w:autoSpaceDE/>
        <w:autoSpaceDN/>
        <w:bidi w:val="0"/>
        <w:spacing w:line="360" w:lineRule="auto"/>
        <w:textAlignment w:val="auto"/>
        <w:rPr>
          <w:rFonts w:ascii="Arial" w:hAnsi="Arial" w:cs="Arial"/>
          <w:b/>
          <w:kern w:val="0"/>
          <w:szCs w:val="21"/>
        </w:rPr>
      </w:pPr>
      <w:r>
        <w:rPr>
          <w:rFonts w:hint="eastAsia" w:ascii="Arial" w:hAnsi="Arial" w:cs="Arial"/>
          <w:b/>
          <w:kern w:val="0"/>
          <w:szCs w:val="21"/>
          <w:lang w:eastAsia="zh-CN"/>
        </w:rPr>
        <w:t>阳泉市公共资源交易中心（阳泉市政府采购中心）</w:t>
      </w:r>
      <w:r>
        <w:rPr>
          <w:rFonts w:hint="eastAsia" w:ascii="Arial" w:hAnsi="Arial" w:cs="Arial"/>
          <w:b/>
          <w:kern w:val="0"/>
          <w:szCs w:val="21"/>
        </w:rPr>
        <w:t>：</w:t>
      </w:r>
    </w:p>
    <w:p>
      <w:pPr>
        <w:keepNext w:val="0"/>
        <w:keepLines w:val="0"/>
        <w:pageBreakBefore w:val="0"/>
        <w:widowControl w:val="0"/>
        <w:kinsoku/>
        <w:wordWrap/>
        <w:overflowPunct/>
        <w:topLinePunct w:val="0"/>
        <w:autoSpaceDE/>
        <w:autoSpaceDN/>
        <w:bidi w:val="0"/>
        <w:snapToGrid w:val="0"/>
        <w:spacing w:line="360" w:lineRule="auto"/>
        <w:textAlignment w:val="auto"/>
        <w:rPr>
          <w:rFonts w:ascii="Arial" w:hAnsi="Arial" w:cs="Arial"/>
          <w:kern w:val="0"/>
          <w:szCs w:val="21"/>
        </w:rPr>
      </w:pPr>
      <w:r>
        <w:rPr>
          <w:rFonts w:ascii="Arial" w:hAnsi="Arial" w:cs="Arial"/>
          <w:kern w:val="0"/>
          <w:szCs w:val="21"/>
        </w:rPr>
        <w:t xml:space="preserve">  </w:t>
      </w:r>
      <w:r>
        <w:rPr>
          <w:rFonts w:ascii="Arial" w:hAnsi="Arial" w:cs="Arial"/>
          <w:kern w:val="0"/>
          <w:szCs w:val="21"/>
          <w:u w:val="single"/>
        </w:rPr>
        <w:t xml:space="preserve">                     (</w:t>
      </w:r>
      <w:r>
        <w:rPr>
          <w:rFonts w:hint="eastAsia" w:ascii="Arial" w:hAnsi="Arial" w:cs="Arial"/>
          <w:kern w:val="0"/>
          <w:szCs w:val="21"/>
          <w:u w:val="single"/>
        </w:rPr>
        <w:t>投标人全称</w:t>
      </w:r>
      <w:r>
        <w:rPr>
          <w:rFonts w:ascii="Arial" w:hAnsi="Arial" w:cs="Arial"/>
          <w:kern w:val="0"/>
          <w:szCs w:val="21"/>
          <w:u w:val="single"/>
        </w:rPr>
        <w:t>)</w:t>
      </w:r>
      <w:r>
        <w:rPr>
          <w:rFonts w:hint="eastAsia" w:ascii="Arial" w:hAnsi="Arial" w:cs="Arial"/>
          <w:kern w:val="0"/>
          <w:szCs w:val="21"/>
        </w:rPr>
        <w:t>授权</w:t>
      </w:r>
      <w:r>
        <w:rPr>
          <w:rFonts w:ascii="Arial" w:hAnsi="Arial" w:cs="Arial"/>
          <w:kern w:val="0"/>
          <w:szCs w:val="21"/>
          <w:u w:val="single"/>
        </w:rPr>
        <w:t xml:space="preserve">       (</w:t>
      </w:r>
      <w:r>
        <w:rPr>
          <w:rFonts w:hint="eastAsia" w:ascii="Arial" w:hAnsi="Arial" w:cs="Arial"/>
          <w:kern w:val="0"/>
          <w:szCs w:val="21"/>
          <w:u w:val="single"/>
        </w:rPr>
        <w:t>投标人代表姓名</w:t>
      </w:r>
      <w:r>
        <w:rPr>
          <w:rFonts w:ascii="Arial" w:hAnsi="Arial" w:cs="Arial"/>
          <w:kern w:val="0"/>
          <w:szCs w:val="21"/>
          <w:u w:val="single"/>
        </w:rPr>
        <w:t>)            (</w:t>
      </w:r>
      <w:r>
        <w:rPr>
          <w:rFonts w:hint="eastAsia" w:ascii="Arial" w:hAnsi="Arial" w:cs="Arial"/>
          <w:kern w:val="0"/>
          <w:szCs w:val="21"/>
          <w:u w:val="single"/>
        </w:rPr>
        <w:t>职务、职称</w:t>
      </w:r>
      <w:r>
        <w:rPr>
          <w:rFonts w:ascii="Arial" w:hAnsi="Arial" w:cs="Arial"/>
          <w:kern w:val="0"/>
          <w:szCs w:val="21"/>
          <w:u w:val="single"/>
        </w:rPr>
        <w:t>)</w:t>
      </w:r>
      <w:r>
        <w:rPr>
          <w:rFonts w:hint="eastAsia" w:ascii="Arial" w:hAnsi="Arial" w:cs="Arial"/>
          <w:kern w:val="0"/>
          <w:szCs w:val="21"/>
        </w:rPr>
        <w:t>为我方代表，参加贵方组织的</w:t>
      </w:r>
      <w:r>
        <w:rPr>
          <w:rFonts w:ascii="Arial" w:hAnsi="Arial" w:cs="Arial"/>
          <w:kern w:val="0"/>
          <w:szCs w:val="21"/>
          <w:u w:val="single"/>
        </w:rPr>
        <w:t xml:space="preserve">                    (</w:t>
      </w:r>
      <w:r>
        <w:rPr>
          <w:rFonts w:hint="eastAsia" w:ascii="Arial" w:hAnsi="Arial" w:cs="Arial"/>
          <w:kern w:val="0"/>
          <w:szCs w:val="21"/>
          <w:u w:val="single"/>
        </w:rPr>
        <w:t>项目名称、项目编号、包号</w:t>
      </w:r>
      <w:r>
        <w:rPr>
          <w:rFonts w:ascii="Arial" w:hAnsi="Arial" w:cs="Arial"/>
          <w:kern w:val="0"/>
          <w:szCs w:val="21"/>
          <w:u w:val="single"/>
        </w:rPr>
        <w:t>)</w:t>
      </w:r>
      <w:r>
        <w:rPr>
          <w:rFonts w:hint="eastAsia" w:ascii="Arial" w:hAnsi="Arial" w:cs="Arial"/>
          <w:kern w:val="0"/>
          <w:szCs w:val="21"/>
        </w:rPr>
        <w:t>招标的有关活动，并对此项目进行投标。为此：</w:t>
      </w:r>
    </w:p>
    <w:p>
      <w:pPr>
        <w:pStyle w:val="106"/>
        <w:keepNext w:val="0"/>
        <w:keepLines w:val="0"/>
        <w:pageBreakBefore w:val="0"/>
        <w:widowControl w:val="0"/>
        <w:tabs>
          <w:tab w:val="left" w:pos="1711"/>
        </w:tabs>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1、我方已仔细研究了本项目</w:t>
      </w:r>
      <w:r>
        <w:rPr>
          <w:rFonts w:hint="eastAsia" w:cs="宋体"/>
          <w:b w:val="0"/>
          <w:bCs/>
          <w:sz w:val="21"/>
          <w:szCs w:val="21"/>
          <w:lang w:eastAsia="zh-CN"/>
        </w:rPr>
        <w:t>招标</w:t>
      </w:r>
      <w:r>
        <w:rPr>
          <w:rFonts w:hint="eastAsia" w:ascii="宋体" w:hAnsi="宋体" w:eastAsia="宋体" w:cs="宋体"/>
          <w:b w:val="0"/>
          <w:bCs/>
          <w:sz w:val="21"/>
          <w:szCs w:val="21"/>
        </w:rPr>
        <w:t>文件的全部内容，愿意以以下报价，按照</w:t>
      </w:r>
      <w:r>
        <w:rPr>
          <w:rFonts w:hint="eastAsia" w:cs="宋体"/>
          <w:b w:val="0"/>
          <w:bCs/>
          <w:sz w:val="21"/>
          <w:szCs w:val="21"/>
          <w:lang w:eastAsia="zh-CN"/>
        </w:rPr>
        <w:t>招标</w:t>
      </w:r>
      <w:r>
        <w:rPr>
          <w:rFonts w:hint="eastAsia" w:ascii="宋体" w:hAnsi="宋体" w:eastAsia="宋体" w:cs="宋体"/>
          <w:b w:val="0"/>
          <w:bCs/>
          <w:sz w:val="21"/>
          <w:szCs w:val="21"/>
        </w:rPr>
        <w:t>文件要求及合同约定完成项目。</w:t>
      </w:r>
    </w:p>
    <w:p>
      <w:pPr>
        <w:pStyle w:val="106"/>
        <w:keepNext w:val="0"/>
        <w:keepLines w:val="0"/>
        <w:pageBreakBefore w:val="0"/>
        <w:widowControl w:val="0"/>
        <w:tabs>
          <w:tab w:val="left" w:pos="1711"/>
        </w:tabs>
        <w:kinsoku/>
        <w:wordWrap/>
        <w:overflowPunct/>
        <w:topLinePunct w:val="0"/>
        <w:autoSpaceDE/>
        <w:autoSpaceDN/>
        <w:bidi w:val="0"/>
        <w:snapToGrid w:val="0"/>
        <w:spacing w:line="360" w:lineRule="auto"/>
        <w:ind w:firstLine="420" w:firstLineChars="200"/>
        <w:textAlignment w:val="auto"/>
        <w:rPr>
          <w:rFonts w:hint="eastAsia" w:ascii="Arial" w:hAnsi="Arial" w:cs="Arial"/>
          <w:kern w:val="0"/>
          <w:szCs w:val="21"/>
        </w:rPr>
      </w:pPr>
      <w:r>
        <w:rPr>
          <w:rFonts w:hint="eastAsia" w:ascii="宋体" w:hAnsi="宋体" w:eastAsia="宋体" w:cs="宋体"/>
          <w:b w:val="0"/>
          <w:bCs/>
          <w:sz w:val="21"/>
          <w:szCs w:val="21"/>
        </w:rPr>
        <w:t>人民币（大写）</w:t>
      </w:r>
      <w:r>
        <w:rPr>
          <w:rFonts w:hint="eastAsia" w:ascii="宋体" w:hAnsi="宋体" w:eastAsia="宋体" w:cs="宋体"/>
          <w:b w:val="0"/>
          <w:bCs/>
          <w:sz w:val="21"/>
          <w:szCs w:val="21"/>
          <w:u w:val="single"/>
        </w:rPr>
        <w:t xml:space="preserve">                    </w:t>
      </w:r>
      <w:r>
        <w:rPr>
          <w:rFonts w:hint="eastAsia" w:ascii="宋体" w:hAnsi="宋体" w:eastAsia="宋体" w:cs="宋体"/>
          <w:b w:val="0"/>
          <w:bCs/>
          <w:sz w:val="21"/>
          <w:szCs w:val="21"/>
        </w:rPr>
        <w:t xml:space="preserve">元（￥ </w:t>
      </w:r>
      <w:r>
        <w:rPr>
          <w:rFonts w:hint="eastAsia" w:ascii="宋体" w:hAnsi="宋体" w:eastAsia="宋体" w:cs="宋体"/>
          <w:b w:val="0"/>
          <w:bCs/>
          <w:sz w:val="21"/>
          <w:szCs w:val="21"/>
          <w:u w:val="single"/>
        </w:rPr>
        <w:t xml:space="preserve">              </w:t>
      </w:r>
      <w:r>
        <w:rPr>
          <w:rFonts w:hint="eastAsia" w:ascii="宋体" w:hAnsi="宋体" w:eastAsia="宋体" w:cs="宋体"/>
          <w:b w:val="0"/>
          <w:bCs/>
          <w:sz w:val="21"/>
          <w:szCs w:val="21"/>
        </w:rPr>
        <w:t>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Arial" w:hAnsi="Arial" w:cs="Arial"/>
          <w:kern w:val="0"/>
          <w:szCs w:val="21"/>
        </w:rPr>
      </w:pPr>
      <w:r>
        <w:rPr>
          <w:rFonts w:hint="eastAsia" w:ascii="Arial" w:hAnsi="Arial" w:cs="Arial"/>
          <w:kern w:val="0"/>
          <w:szCs w:val="21"/>
          <w:lang w:val="en-US" w:eastAsia="zh-CN"/>
        </w:rPr>
        <w:t>2、</w:t>
      </w:r>
      <w:r>
        <w:rPr>
          <w:rFonts w:hint="eastAsia" w:ascii="Arial" w:hAnsi="Arial" w:cs="Arial"/>
          <w:kern w:val="0"/>
          <w:szCs w:val="21"/>
        </w:rPr>
        <w:t>我方同意在本项目招标文件中规定的投标文件有效期内（自递交投标文件之日起计算）遵守本投标文件中的承诺且在此期限期满之前均具有约束力。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Arial" w:hAnsi="Arial" w:cs="Arial"/>
          <w:kern w:val="0"/>
          <w:szCs w:val="21"/>
        </w:rPr>
      </w:pPr>
      <w:r>
        <w:rPr>
          <w:rFonts w:hint="eastAsia" w:ascii="Arial" w:hAnsi="Arial" w:cs="Arial"/>
          <w:kern w:val="0"/>
          <w:szCs w:val="21"/>
          <w:lang w:val="en-US" w:eastAsia="zh-CN"/>
        </w:rPr>
        <w:t>3</w:t>
      </w:r>
      <w:r>
        <w:rPr>
          <w:rFonts w:hint="eastAsia" w:ascii="Arial" w:hAnsi="Arial" w:cs="Arial"/>
          <w:kern w:val="0"/>
          <w:szCs w:val="21"/>
        </w:rPr>
        <w:t>、我方承诺已经具备《中华人民共和国政府采购法》中规定的参加政府采购活动的供应商应当具备的全部条件和本招标文件规定的特定资质要求。</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ascii="Arial" w:hAnsi="Arial" w:cs="Arial"/>
          <w:kern w:val="0"/>
          <w:szCs w:val="21"/>
        </w:rPr>
      </w:pPr>
      <w:r>
        <w:rPr>
          <w:rFonts w:hint="eastAsia" w:ascii="Arial" w:hAnsi="Arial" w:cs="Arial"/>
          <w:kern w:val="0"/>
          <w:szCs w:val="21"/>
          <w:lang w:val="en-US" w:eastAsia="zh-CN"/>
        </w:rPr>
        <w:t>4</w:t>
      </w:r>
      <w:r>
        <w:rPr>
          <w:rFonts w:hint="eastAsia" w:ascii="Arial" w:hAnsi="Arial" w:cs="Arial"/>
          <w:kern w:val="0"/>
          <w:szCs w:val="21"/>
        </w:rPr>
        <w:t>、提供投标须知规定的全部投标文件，包括投标文件</w:t>
      </w:r>
      <w:r>
        <w:rPr>
          <w:rFonts w:hint="eastAsia" w:ascii="Arial" w:hAnsi="Arial" w:cs="Arial"/>
          <w:kern w:val="0"/>
          <w:szCs w:val="21"/>
          <w:lang w:eastAsia="zh-CN"/>
        </w:rPr>
        <w:t>、</w:t>
      </w:r>
      <w:r>
        <w:rPr>
          <w:rFonts w:hint="eastAsia" w:ascii="Arial" w:hAnsi="Arial" w:cs="Arial"/>
          <w:kern w:val="0"/>
          <w:szCs w:val="21"/>
        </w:rPr>
        <w:t>开标报价一览表。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Arial" w:hAnsi="Arial" w:cs="Arial"/>
          <w:kern w:val="0"/>
          <w:szCs w:val="21"/>
        </w:rPr>
      </w:pPr>
      <w:r>
        <w:rPr>
          <w:rFonts w:hint="eastAsia" w:ascii="Arial" w:hAnsi="Arial" w:cs="Arial"/>
          <w:kern w:val="0"/>
          <w:szCs w:val="21"/>
          <w:lang w:val="en-US" w:eastAsia="zh-CN"/>
        </w:rPr>
        <w:t>5</w:t>
      </w:r>
      <w:r>
        <w:rPr>
          <w:rFonts w:hint="eastAsia" w:ascii="Arial" w:hAnsi="Arial" w:cs="Arial"/>
          <w:kern w:val="0"/>
          <w:szCs w:val="21"/>
        </w:rPr>
        <w:t>、按招标文件要求提供和交付的货物和服务的投标报价详见开标报价一览表。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Arial" w:hAnsi="Arial" w:cs="Arial"/>
          <w:kern w:val="0"/>
          <w:szCs w:val="21"/>
        </w:rPr>
      </w:pPr>
      <w:r>
        <w:rPr>
          <w:rFonts w:hint="eastAsia" w:ascii="Arial" w:hAnsi="Arial" w:cs="Arial"/>
          <w:kern w:val="0"/>
          <w:szCs w:val="21"/>
          <w:lang w:val="en-US" w:eastAsia="zh-CN"/>
        </w:rPr>
        <w:t>6</w:t>
      </w:r>
      <w:r>
        <w:rPr>
          <w:rFonts w:hint="eastAsia" w:ascii="Arial" w:hAnsi="Arial" w:cs="Arial"/>
          <w:kern w:val="0"/>
          <w:szCs w:val="21"/>
        </w:rPr>
        <w:t>、我方承诺：所提供全部产品的报价具有市场合理性和客观性；完全理解投标报价超过公布的预算金额时，导致投标无效。</w:t>
      </w:r>
    </w:p>
    <w:p>
      <w:pPr>
        <w:keepNext w:val="0"/>
        <w:keepLines w:val="0"/>
        <w:pageBreakBefore w:val="0"/>
        <w:widowControl w:val="0"/>
        <w:tabs>
          <w:tab w:val="left" w:pos="1680"/>
        </w:tabs>
        <w:kinsoku/>
        <w:wordWrap/>
        <w:overflowPunct/>
        <w:topLinePunct w:val="0"/>
        <w:autoSpaceDE/>
        <w:autoSpaceDN/>
        <w:bidi w:val="0"/>
        <w:adjustRightInd w:val="0"/>
        <w:snapToGrid w:val="0"/>
        <w:spacing w:line="360" w:lineRule="auto"/>
        <w:ind w:firstLine="420" w:firstLineChars="200"/>
        <w:textAlignment w:val="auto"/>
        <w:rPr>
          <w:rFonts w:ascii="Arial" w:hAnsi="Arial" w:cs="Arial"/>
          <w:kern w:val="0"/>
          <w:szCs w:val="21"/>
        </w:rPr>
      </w:pPr>
      <w:r>
        <w:rPr>
          <w:rFonts w:hint="eastAsia" w:ascii="Arial" w:hAnsi="Arial" w:cs="Arial"/>
          <w:kern w:val="0"/>
          <w:szCs w:val="21"/>
          <w:lang w:val="en-US" w:eastAsia="zh-CN"/>
        </w:rPr>
        <w:t>7</w:t>
      </w:r>
      <w:r>
        <w:rPr>
          <w:rFonts w:hint="eastAsia" w:ascii="Arial" w:hAnsi="Arial" w:cs="Arial"/>
          <w:kern w:val="0"/>
          <w:szCs w:val="21"/>
        </w:rPr>
        <w:t>、保证忠实地执行双方所签订的合同，并承担合同规定的责任和义务。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Arial" w:hAnsi="Arial" w:cs="Arial"/>
          <w:kern w:val="0"/>
          <w:szCs w:val="21"/>
        </w:rPr>
      </w:pPr>
      <w:r>
        <w:rPr>
          <w:rFonts w:hint="eastAsia" w:ascii="Arial" w:hAnsi="Arial" w:cs="Arial"/>
          <w:kern w:val="0"/>
          <w:szCs w:val="21"/>
          <w:lang w:val="en-US" w:eastAsia="zh-CN"/>
        </w:rPr>
        <w:t>8</w:t>
      </w:r>
      <w:r>
        <w:rPr>
          <w:rFonts w:hint="eastAsia" w:ascii="Arial" w:hAnsi="Arial" w:cs="Arial"/>
          <w:kern w:val="0"/>
          <w:szCs w:val="21"/>
        </w:rPr>
        <w:t>、承诺完全满足和响应招标文件中的各项商务和技术要求，若有偏差，已在投标文件偏离表中予以明确特别说明。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Arial" w:hAnsi="Arial" w:cs="Arial"/>
          <w:kern w:val="0"/>
          <w:szCs w:val="21"/>
        </w:rPr>
      </w:pPr>
      <w:r>
        <w:rPr>
          <w:rFonts w:hint="eastAsia" w:ascii="Arial" w:hAnsi="Arial" w:cs="Arial"/>
          <w:kern w:val="0"/>
          <w:szCs w:val="21"/>
          <w:lang w:val="en-US" w:eastAsia="zh-CN"/>
        </w:rPr>
        <w:t>9</w:t>
      </w:r>
      <w:r>
        <w:rPr>
          <w:rFonts w:hint="eastAsia" w:ascii="Arial" w:hAnsi="Arial" w:cs="Arial"/>
          <w:kern w:val="0"/>
          <w:szCs w:val="21"/>
        </w:rPr>
        <w:t>、保证遵守招标文件的所有规定。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Arial" w:hAnsi="Arial" w:cs="Arial"/>
          <w:kern w:val="0"/>
          <w:szCs w:val="21"/>
        </w:rPr>
      </w:pPr>
      <w:r>
        <w:rPr>
          <w:rFonts w:hint="eastAsia" w:ascii="Arial" w:hAnsi="Arial" w:cs="Arial"/>
          <w:kern w:val="0"/>
          <w:szCs w:val="21"/>
          <w:lang w:val="en-US" w:eastAsia="zh-CN"/>
        </w:rPr>
        <w:t>10</w:t>
      </w:r>
      <w:r>
        <w:rPr>
          <w:rFonts w:hint="eastAsia" w:ascii="Arial" w:hAnsi="Arial" w:cs="Arial"/>
          <w:kern w:val="0"/>
          <w:szCs w:val="21"/>
        </w:rPr>
        <w:t>、保证在投标截止时间前，对所递交的投标文件进行补充、修改或者撤回时，我方会以书面形式通知集采机构，否则可视为无效。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Arial" w:hAnsi="Arial" w:cs="Arial"/>
          <w:kern w:val="0"/>
          <w:szCs w:val="21"/>
        </w:rPr>
      </w:pPr>
      <w:r>
        <w:rPr>
          <w:rFonts w:hint="eastAsia" w:ascii="Arial" w:hAnsi="Arial" w:cs="Arial"/>
          <w:kern w:val="0"/>
          <w:szCs w:val="21"/>
          <w:lang w:val="en-US" w:eastAsia="zh-CN"/>
        </w:rPr>
        <w:t>11</w:t>
      </w:r>
      <w:r>
        <w:rPr>
          <w:rFonts w:hint="eastAsia" w:ascii="Arial" w:hAnsi="Arial" w:cs="Arial"/>
          <w:kern w:val="0"/>
          <w:szCs w:val="21"/>
        </w:rPr>
        <w:t>、对贵方以书面</w:t>
      </w:r>
      <w:r>
        <w:rPr>
          <w:rFonts w:ascii="Arial" w:hAnsi="Arial" w:cs="Arial"/>
          <w:kern w:val="0"/>
          <w:szCs w:val="21"/>
        </w:rPr>
        <w:t>(</w:t>
      </w:r>
      <w:r>
        <w:rPr>
          <w:rFonts w:hint="eastAsia" w:ascii="Arial" w:hAnsi="Arial" w:cs="Arial"/>
          <w:kern w:val="0"/>
          <w:szCs w:val="21"/>
        </w:rPr>
        <w:t>包括书面材料、信函、传真、电子邮件等</w:t>
      </w:r>
      <w:r>
        <w:rPr>
          <w:rFonts w:ascii="Arial" w:hAnsi="Arial" w:cs="Arial"/>
          <w:kern w:val="0"/>
          <w:szCs w:val="21"/>
        </w:rPr>
        <w:t>)</w:t>
      </w:r>
      <w:r>
        <w:rPr>
          <w:rFonts w:hint="eastAsia" w:ascii="Arial" w:hAnsi="Arial" w:cs="Arial"/>
          <w:kern w:val="0"/>
          <w:szCs w:val="21"/>
        </w:rPr>
        <w:t>或以在本次招标公告刊登的媒体上发布的公告或与本项目有关的通知，我方会立即予以回复确认。若因登记有误或线路故障等其他原因导致通知延迟送达或无法送达，责任由我方自负。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Arial" w:hAnsi="Arial" w:cs="Arial"/>
          <w:kern w:val="0"/>
          <w:szCs w:val="21"/>
        </w:rPr>
      </w:pPr>
      <w:r>
        <w:rPr>
          <w:rFonts w:ascii="Arial" w:hAnsi="Arial" w:cs="Arial"/>
          <w:kern w:val="0"/>
          <w:szCs w:val="21"/>
        </w:rPr>
        <w:t>1</w:t>
      </w:r>
      <w:r>
        <w:rPr>
          <w:rFonts w:hint="eastAsia" w:ascii="Arial" w:hAnsi="Arial" w:cs="Arial"/>
          <w:kern w:val="0"/>
          <w:szCs w:val="21"/>
          <w:lang w:val="en-US" w:eastAsia="zh-CN"/>
        </w:rPr>
        <w:t>2</w:t>
      </w:r>
      <w:r>
        <w:rPr>
          <w:rFonts w:hint="eastAsia" w:ascii="Arial" w:hAnsi="Arial" w:cs="Arial"/>
          <w:kern w:val="0"/>
          <w:szCs w:val="21"/>
        </w:rPr>
        <w:t>、如果在开标后规定的投标有效期内撤回投标，我方的投标保证金可被贵方没收。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Arial" w:hAnsi="Arial" w:cs="Arial"/>
          <w:kern w:val="0"/>
          <w:szCs w:val="21"/>
        </w:rPr>
      </w:pPr>
      <w:r>
        <w:rPr>
          <w:rFonts w:ascii="Arial" w:hAnsi="Arial" w:cs="Arial"/>
          <w:kern w:val="0"/>
          <w:szCs w:val="21"/>
        </w:rPr>
        <w:t>1</w:t>
      </w:r>
      <w:r>
        <w:rPr>
          <w:rFonts w:hint="eastAsia" w:ascii="Arial" w:hAnsi="Arial" w:cs="Arial"/>
          <w:kern w:val="0"/>
          <w:szCs w:val="21"/>
          <w:lang w:val="en-US" w:eastAsia="zh-CN"/>
        </w:rPr>
        <w:t>3</w:t>
      </w:r>
      <w:r>
        <w:rPr>
          <w:rFonts w:hint="eastAsia" w:ascii="Arial" w:hAnsi="Arial" w:cs="Arial"/>
          <w:kern w:val="0"/>
          <w:szCs w:val="21"/>
        </w:rPr>
        <w:t>、我方完全理解贵方不一定接受最低价的投标或收到的任何投标。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Arial" w:hAnsi="Arial" w:cs="Arial"/>
          <w:kern w:val="0"/>
          <w:szCs w:val="21"/>
        </w:rPr>
      </w:pPr>
      <w:r>
        <w:rPr>
          <w:rFonts w:ascii="Arial" w:hAnsi="Arial" w:cs="Arial"/>
          <w:kern w:val="0"/>
          <w:szCs w:val="21"/>
        </w:rPr>
        <w:t>1</w:t>
      </w:r>
      <w:r>
        <w:rPr>
          <w:rFonts w:hint="eastAsia" w:ascii="Arial" w:hAnsi="Arial" w:cs="Arial"/>
          <w:kern w:val="0"/>
          <w:szCs w:val="21"/>
          <w:lang w:val="en-US" w:eastAsia="zh-CN"/>
        </w:rPr>
        <w:t>4</w:t>
      </w:r>
      <w:r>
        <w:rPr>
          <w:rFonts w:hint="eastAsia" w:ascii="Arial" w:hAnsi="Arial" w:cs="Arial"/>
          <w:kern w:val="0"/>
          <w:szCs w:val="21"/>
        </w:rPr>
        <w:t>、我方愿意向贵方提供任何与本项投标有关的数据、情况和技术资料。若贵方需要，我方愿意提供我方做出的一切承诺的证明材料。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Arial" w:hAnsi="Arial" w:cs="Arial"/>
          <w:kern w:val="0"/>
          <w:szCs w:val="21"/>
        </w:rPr>
      </w:pPr>
      <w:r>
        <w:rPr>
          <w:rFonts w:ascii="Arial" w:hAnsi="Arial" w:cs="Arial"/>
          <w:kern w:val="0"/>
          <w:szCs w:val="21"/>
        </w:rPr>
        <w:t>1</w:t>
      </w:r>
      <w:r>
        <w:rPr>
          <w:rFonts w:hint="eastAsia" w:ascii="Arial" w:hAnsi="Arial" w:cs="Arial"/>
          <w:kern w:val="0"/>
          <w:szCs w:val="21"/>
          <w:lang w:val="en-US" w:eastAsia="zh-CN"/>
        </w:rPr>
        <w:t>5</w:t>
      </w:r>
      <w:r>
        <w:rPr>
          <w:rFonts w:hint="eastAsia" w:ascii="Arial" w:hAnsi="Arial" w:cs="Arial"/>
          <w:kern w:val="0"/>
          <w:szCs w:val="21"/>
        </w:rPr>
        <w:t>、我方已详细审核全部投标文件，包括投标文件修改书（如有的话）、参考资料及有关附件，确认无误。</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Arial" w:hAnsi="Arial" w:cs="Arial"/>
          <w:kern w:val="0"/>
          <w:szCs w:val="21"/>
        </w:rPr>
      </w:pPr>
      <w:r>
        <w:rPr>
          <w:rFonts w:hint="eastAsia" w:ascii="Arial" w:hAnsi="Arial" w:cs="Arial"/>
          <w:kern w:val="0"/>
          <w:szCs w:val="21"/>
          <w:lang w:val="en-US" w:eastAsia="zh-CN"/>
        </w:rPr>
        <w:t>16</w:t>
      </w:r>
      <w:r>
        <w:rPr>
          <w:rFonts w:hint="eastAsia" w:ascii="Arial" w:hAnsi="Arial" w:cs="Arial"/>
          <w:kern w:val="0"/>
          <w:szCs w:val="21"/>
        </w:rPr>
        <w:t>、我方承诺：采购人若需追加采购本项目招标文件所列货物及相关服务的，在不改变合同其他实质性条款的前提下，按相同或更优惠的折扣率保证供货。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Arial" w:hAnsi="Arial" w:cs="Arial"/>
          <w:kern w:val="0"/>
          <w:szCs w:val="21"/>
        </w:rPr>
      </w:pPr>
      <w:r>
        <w:rPr>
          <w:rFonts w:hint="eastAsia" w:ascii="Arial" w:hAnsi="Arial" w:cs="Arial"/>
          <w:kern w:val="0"/>
          <w:szCs w:val="21"/>
          <w:lang w:val="en-US" w:eastAsia="zh-CN"/>
        </w:rPr>
        <w:t>17</w:t>
      </w:r>
      <w:r>
        <w:rPr>
          <w:rFonts w:hint="eastAsia" w:ascii="Arial" w:hAnsi="Arial" w:cs="Arial"/>
          <w:kern w:val="0"/>
          <w:szCs w:val="21"/>
        </w:rPr>
        <w:t>、我方承诺接受招标文件中《合同原则》的全部条款且无任何异议。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Arial" w:hAnsi="Arial" w:cs="Arial"/>
          <w:kern w:val="0"/>
          <w:szCs w:val="21"/>
        </w:rPr>
      </w:pPr>
      <w:r>
        <w:rPr>
          <w:rFonts w:hint="eastAsia" w:ascii="Arial" w:hAnsi="Arial" w:cs="Arial"/>
          <w:kern w:val="0"/>
          <w:szCs w:val="21"/>
          <w:lang w:val="en-US" w:eastAsia="zh-CN"/>
        </w:rPr>
        <w:t>18</w:t>
      </w:r>
      <w:r>
        <w:rPr>
          <w:rFonts w:hint="eastAsia" w:ascii="Arial" w:hAnsi="Arial" w:cs="Arial"/>
          <w:kern w:val="0"/>
          <w:szCs w:val="21"/>
        </w:rPr>
        <w:t>、我方将严格遵守《中华人民共和国政府采购法》的有关规定，若有下列情形之一的，将被处以采购金额</w:t>
      </w:r>
      <w:r>
        <w:rPr>
          <w:rFonts w:ascii="Arial" w:hAnsi="Arial" w:cs="Arial"/>
          <w:kern w:val="0"/>
          <w:szCs w:val="21"/>
        </w:rPr>
        <w:t>5</w:t>
      </w:r>
      <w:r>
        <w:rPr>
          <w:rFonts w:hint="eastAsia" w:ascii="Arial" w:hAnsi="Arial" w:cs="Arial"/>
          <w:kern w:val="0"/>
          <w:szCs w:val="21"/>
        </w:rPr>
        <w:t>‰以上</w:t>
      </w:r>
      <w:r>
        <w:rPr>
          <w:rFonts w:ascii="Arial" w:hAnsi="Arial" w:cs="Arial"/>
          <w:kern w:val="0"/>
          <w:szCs w:val="21"/>
        </w:rPr>
        <w:t>10</w:t>
      </w:r>
      <w:r>
        <w:rPr>
          <w:rFonts w:hint="eastAsia" w:ascii="Arial" w:hAnsi="Arial" w:cs="Arial"/>
          <w:kern w:val="0"/>
          <w:szCs w:val="21"/>
        </w:rPr>
        <w:t>‰以下的罚款，列入不良行为记录名单，在一至三年内禁止参加政府采购活动；有违法所得的，并处没收违法所得；情节严重的，由工商行政管理机关吊销营业执照；构成犯罪的，依法追究刑事责任：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Arial" w:hAnsi="Arial" w:cs="Arial"/>
          <w:kern w:val="0"/>
          <w:szCs w:val="21"/>
        </w:rPr>
      </w:pPr>
      <w:r>
        <w:rPr>
          <w:rFonts w:hint="eastAsia" w:ascii="Arial" w:hAnsi="Arial" w:cs="Arial"/>
          <w:kern w:val="0"/>
          <w:szCs w:val="21"/>
        </w:rPr>
        <w:t>（</w:t>
      </w:r>
      <w:r>
        <w:rPr>
          <w:rFonts w:ascii="Arial" w:hAnsi="Arial" w:cs="Arial"/>
          <w:kern w:val="0"/>
          <w:szCs w:val="21"/>
        </w:rPr>
        <w:t>1</w:t>
      </w:r>
      <w:r>
        <w:rPr>
          <w:rFonts w:hint="eastAsia" w:ascii="Arial" w:hAnsi="Arial" w:cs="Arial"/>
          <w:kern w:val="0"/>
          <w:szCs w:val="21"/>
        </w:rPr>
        <w:t>）提供虚假材料谋取中标的；</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Arial" w:hAnsi="Arial" w:cs="Arial"/>
          <w:kern w:val="0"/>
          <w:szCs w:val="21"/>
        </w:rPr>
      </w:pPr>
      <w:r>
        <w:rPr>
          <w:rFonts w:hint="eastAsia" w:ascii="Arial" w:hAnsi="Arial" w:cs="Arial"/>
          <w:kern w:val="0"/>
          <w:szCs w:val="21"/>
        </w:rPr>
        <w:t>（</w:t>
      </w:r>
      <w:r>
        <w:rPr>
          <w:rFonts w:ascii="Arial" w:hAnsi="Arial" w:cs="Arial"/>
          <w:kern w:val="0"/>
          <w:szCs w:val="21"/>
        </w:rPr>
        <w:t>2</w:t>
      </w:r>
      <w:r>
        <w:rPr>
          <w:rFonts w:hint="eastAsia" w:ascii="Arial" w:hAnsi="Arial" w:cs="Arial"/>
          <w:kern w:val="0"/>
          <w:szCs w:val="21"/>
        </w:rPr>
        <w:t>）采取不正当手段诋毁、排挤其他供应商的；</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Arial" w:hAnsi="Arial" w:cs="Arial"/>
          <w:kern w:val="0"/>
          <w:szCs w:val="21"/>
        </w:rPr>
      </w:pPr>
      <w:r>
        <w:rPr>
          <w:rFonts w:hint="eastAsia" w:ascii="Arial" w:hAnsi="Arial" w:cs="Arial"/>
          <w:kern w:val="0"/>
          <w:szCs w:val="21"/>
        </w:rPr>
        <w:t>（</w:t>
      </w:r>
      <w:r>
        <w:rPr>
          <w:rFonts w:ascii="Arial" w:hAnsi="Arial" w:cs="Arial"/>
          <w:kern w:val="0"/>
          <w:szCs w:val="21"/>
        </w:rPr>
        <w:t>3</w:t>
      </w:r>
      <w:r>
        <w:rPr>
          <w:rFonts w:hint="eastAsia" w:ascii="Arial" w:hAnsi="Arial" w:cs="Arial"/>
          <w:kern w:val="0"/>
          <w:szCs w:val="21"/>
        </w:rPr>
        <w:t>）与采购人、其他供应商恶意串通的；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Arial" w:hAnsi="Arial" w:cs="Arial"/>
          <w:kern w:val="0"/>
          <w:szCs w:val="21"/>
        </w:rPr>
      </w:pPr>
      <w:r>
        <w:rPr>
          <w:rFonts w:hint="eastAsia" w:ascii="Arial" w:hAnsi="Arial" w:cs="Arial"/>
          <w:kern w:val="0"/>
          <w:szCs w:val="21"/>
        </w:rPr>
        <w:t>（</w:t>
      </w:r>
      <w:r>
        <w:rPr>
          <w:rFonts w:ascii="Arial" w:hAnsi="Arial" w:cs="Arial"/>
          <w:kern w:val="0"/>
          <w:szCs w:val="21"/>
        </w:rPr>
        <w:t>4</w:t>
      </w:r>
      <w:r>
        <w:rPr>
          <w:rFonts w:hint="eastAsia" w:ascii="Arial" w:hAnsi="Arial" w:cs="Arial"/>
          <w:kern w:val="0"/>
          <w:szCs w:val="21"/>
        </w:rPr>
        <w:t>）开标后撤回投标的；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Arial" w:hAnsi="Arial" w:cs="Arial"/>
          <w:kern w:val="0"/>
          <w:szCs w:val="21"/>
        </w:rPr>
      </w:pPr>
      <w:r>
        <w:rPr>
          <w:rFonts w:hint="eastAsia" w:ascii="Arial" w:hAnsi="Arial" w:cs="Arial"/>
          <w:kern w:val="0"/>
          <w:szCs w:val="21"/>
        </w:rPr>
        <w:t>（</w:t>
      </w:r>
      <w:r>
        <w:rPr>
          <w:rFonts w:ascii="Arial" w:hAnsi="Arial" w:cs="Arial"/>
          <w:kern w:val="0"/>
          <w:szCs w:val="21"/>
        </w:rPr>
        <w:t>5</w:t>
      </w:r>
      <w:r>
        <w:rPr>
          <w:rFonts w:hint="eastAsia" w:ascii="Arial" w:hAnsi="Arial" w:cs="Arial"/>
          <w:kern w:val="0"/>
          <w:szCs w:val="21"/>
        </w:rPr>
        <w:t>）在评标期间，影响集采机构或评标委员会正常履行职责的；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Arial" w:hAnsi="Arial" w:cs="Arial"/>
          <w:kern w:val="0"/>
          <w:szCs w:val="21"/>
        </w:rPr>
      </w:pPr>
      <w:r>
        <w:rPr>
          <w:rFonts w:hint="eastAsia" w:ascii="Arial" w:hAnsi="Arial" w:cs="Arial"/>
          <w:kern w:val="0"/>
          <w:szCs w:val="21"/>
        </w:rPr>
        <w:t>（</w:t>
      </w:r>
      <w:r>
        <w:rPr>
          <w:rFonts w:ascii="Arial" w:hAnsi="Arial" w:cs="Arial"/>
          <w:kern w:val="0"/>
          <w:szCs w:val="21"/>
        </w:rPr>
        <w:t>6</w:t>
      </w:r>
      <w:r>
        <w:rPr>
          <w:rFonts w:hint="eastAsia" w:ascii="Arial" w:hAnsi="Arial" w:cs="Arial"/>
          <w:kern w:val="0"/>
          <w:szCs w:val="21"/>
        </w:rPr>
        <w:t>）中标后未按本招标文件规定签约或与采购人订立背离合同实质性内容的其它协议的；</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Arial" w:hAnsi="Arial" w:cs="Arial"/>
          <w:kern w:val="0"/>
          <w:szCs w:val="21"/>
        </w:rPr>
      </w:pPr>
      <w:r>
        <w:rPr>
          <w:rFonts w:hint="eastAsia" w:ascii="Arial" w:hAnsi="Arial" w:cs="Arial"/>
          <w:kern w:val="0"/>
          <w:szCs w:val="21"/>
        </w:rPr>
        <w:t>（</w:t>
      </w:r>
      <w:r>
        <w:rPr>
          <w:rFonts w:ascii="Arial" w:hAnsi="Arial" w:cs="Arial"/>
          <w:kern w:val="0"/>
          <w:szCs w:val="21"/>
        </w:rPr>
        <w:t>7</w:t>
      </w:r>
      <w:r>
        <w:rPr>
          <w:rFonts w:hint="eastAsia" w:ascii="Arial" w:hAnsi="Arial" w:cs="Arial"/>
          <w:kern w:val="0"/>
          <w:szCs w:val="21"/>
        </w:rPr>
        <w:t>）投标人未按招标文件规定和合同约定履行义务的；</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Arial" w:hAnsi="Arial" w:cs="Arial"/>
          <w:kern w:val="0"/>
          <w:szCs w:val="21"/>
        </w:rPr>
      </w:pPr>
      <w:r>
        <w:rPr>
          <w:rFonts w:hint="eastAsia" w:ascii="Arial" w:hAnsi="Arial" w:cs="Arial"/>
          <w:kern w:val="0"/>
          <w:szCs w:val="21"/>
        </w:rPr>
        <w:t>（</w:t>
      </w:r>
      <w:r>
        <w:rPr>
          <w:rFonts w:ascii="Arial" w:hAnsi="Arial" w:cs="Arial"/>
          <w:kern w:val="0"/>
          <w:szCs w:val="21"/>
        </w:rPr>
        <w:t>8</w:t>
      </w:r>
      <w:r>
        <w:rPr>
          <w:rFonts w:hint="eastAsia" w:ascii="Arial" w:hAnsi="Arial" w:cs="Arial"/>
          <w:kern w:val="0"/>
          <w:szCs w:val="21"/>
        </w:rPr>
        <w:t>）违犯法律法规规定的其他行为。</w:t>
      </w:r>
    </w:p>
    <w:p>
      <w:pPr>
        <w:keepNext w:val="0"/>
        <w:keepLines w:val="0"/>
        <w:pageBreakBefore w:val="0"/>
        <w:widowControl w:val="0"/>
        <w:kinsoku/>
        <w:wordWrap/>
        <w:overflowPunct/>
        <w:topLinePunct w:val="0"/>
        <w:autoSpaceDE/>
        <w:autoSpaceDN/>
        <w:bidi w:val="0"/>
        <w:snapToGrid w:val="0"/>
        <w:spacing w:line="360" w:lineRule="auto"/>
        <w:textAlignment w:val="auto"/>
        <w:rPr>
          <w:rFonts w:ascii="Arial" w:hAnsi="Arial" w:cs="Arial"/>
          <w:kern w:val="0"/>
          <w:szCs w:val="21"/>
        </w:rPr>
      </w:pPr>
      <w:r>
        <w:rPr>
          <w:rFonts w:hint="eastAsia" w:ascii="Arial" w:hAnsi="Arial" w:cs="Arial"/>
          <w:kern w:val="0"/>
          <w:szCs w:val="21"/>
        </w:rPr>
        <w:t>所有有关本投标的一切往来联系方式为：</w:t>
      </w:r>
    </w:p>
    <w:p>
      <w:pPr>
        <w:keepNext w:val="0"/>
        <w:keepLines w:val="0"/>
        <w:pageBreakBefore w:val="0"/>
        <w:widowControl w:val="0"/>
        <w:kinsoku/>
        <w:wordWrap/>
        <w:overflowPunct/>
        <w:topLinePunct w:val="0"/>
        <w:autoSpaceDE/>
        <w:autoSpaceDN/>
        <w:bidi w:val="0"/>
        <w:snapToGrid w:val="0"/>
        <w:spacing w:line="360" w:lineRule="auto"/>
        <w:textAlignment w:val="auto"/>
        <w:rPr>
          <w:rFonts w:ascii="Arial" w:hAnsi="Arial" w:cs="Arial"/>
          <w:kern w:val="0"/>
          <w:szCs w:val="21"/>
        </w:rPr>
      </w:pPr>
      <w:r>
        <w:rPr>
          <w:rFonts w:hint="eastAsia" w:ascii="Arial" w:hAnsi="Arial" w:cs="Arial"/>
          <w:kern w:val="0"/>
          <w:szCs w:val="21"/>
        </w:rPr>
        <w:t>地址：</w:t>
      </w:r>
      <w:r>
        <w:rPr>
          <w:rFonts w:ascii="Arial" w:hAnsi="Arial" w:cs="Arial"/>
          <w:kern w:val="0"/>
          <w:szCs w:val="21"/>
        </w:rPr>
        <w:tab/>
      </w:r>
      <w:r>
        <w:rPr>
          <w:rFonts w:hint="eastAsia" w:ascii="Arial" w:hAnsi="Arial" w:cs="Arial"/>
          <w:kern w:val="0"/>
          <w:szCs w:val="21"/>
        </w:rPr>
        <w:t>邮编：</w:t>
      </w:r>
      <w:r>
        <w:rPr>
          <w:rFonts w:ascii="Arial" w:hAnsi="Arial" w:cs="Arial"/>
          <w:kern w:val="0"/>
          <w:szCs w:val="21"/>
        </w:rPr>
        <w:tab/>
      </w:r>
    </w:p>
    <w:p>
      <w:pPr>
        <w:keepNext w:val="0"/>
        <w:keepLines w:val="0"/>
        <w:pageBreakBefore w:val="0"/>
        <w:widowControl w:val="0"/>
        <w:kinsoku/>
        <w:wordWrap/>
        <w:overflowPunct/>
        <w:topLinePunct w:val="0"/>
        <w:autoSpaceDE/>
        <w:autoSpaceDN/>
        <w:bidi w:val="0"/>
        <w:snapToGrid w:val="0"/>
        <w:spacing w:line="360" w:lineRule="auto"/>
        <w:textAlignment w:val="auto"/>
        <w:rPr>
          <w:rFonts w:ascii="Arial" w:hAnsi="Arial" w:cs="Arial"/>
          <w:kern w:val="0"/>
          <w:szCs w:val="21"/>
        </w:rPr>
      </w:pPr>
      <w:r>
        <w:rPr>
          <w:rFonts w:hint="eastAsia" w:ascii="Arial" w:hAnsi="Arial" w:cs="Arial"/>
          <w:kern w:val="0"/>
          <w:szCs w:val="21"/>
        </w:rPr>
        <w:t>电话：</w:t>
      </w:r>
      <w:r>
        <w:rPr>
          <w:rFonts w:ascii="Arial" w:hAnsi="Arial" w:cs="Arial"/>
          <w:kern w:val="0"/>
          <w:szCs w:val="21"/>
        </w:rPr>
        <w:tab/>
      </w:r>
      <w:r>
        <w:rPr>
          <w:rFonts w:hint="eastAsia" w:ascii="Arial" w:hAnsi="Arial" w:cs="Arial"/>
          <w:kern w:val="0"/>
          <w:szCs w:val="21"/>
        </w:rPr>
        <w:t>传真：</w:t>
      </w:r>
    </w:p>
    <w:p>
      <w:pPr>
        <w:keepNext w:val="0"/>
        <w:keepLines w:val="0"/>
        <w:pageBreakBefore w:val="0"/>
        <w:widowControl w:val="0"/>
        <w:tabs>
          <w:tab w:val="left" w:pos="480"/>
        </w:tabs>
        <w:kinsoku/>
        <w:wordWrap/>
        <w:overflowPunct/>
        <w:topLinePunct w:val="0"/>
        <w:autoSpaceDE/>
        <w:autoSpaceDN/>
        <w:bidi w:val="0"/>
        <w:snapToGrid w:val="0"/>
        <w:spacing w:line="360" w:lineRule="auto"/>
        <w:textAlignment w:val="auto"/>
        <w:rPr>
          <w:rFonts w:ascii="Arial" w:hAnsi="Arial" w:cs="Arial"/>
          <w:kern w:val="0"/>
          <w:szCs w:val="21"/>
        </w:rPr>
      </w:pPr>
      <w:r>
        <w:rPr>
          <w:rFonts w:hint="eastAsia" w:ascii="Arial" w:hAnsi="Arial" w:cs="Arial"/>
          <w:kern w:val="0"/>
          <w:szCs w:val="21"/>
        </w:rPr>
        <w:t>投标人代表姓名：</w:t>
      </w:r>
    </w:p>
    <w:p>
      <w:pPr>
        <w:keepNext w:val="0"/>
        <w:keepLines w:val="0"/>
        <w:pageBreakBefore w:val="0"/>
        <w:widowControl w:val="0"/>
        <w:tabs>
          <w:tab w:val="left" w:pos="480"/>
        </w:tabs>
        <w:kinsoku/>
        <w:wordWrap/>
        <w:overflowPunct/>
        <w:topLinePunct w:val="0"/>
        <w:autoSpaceDE/>
        <w:autoSpaceDN/>
        <w:bidi w:val="0"/>
        <w:snapToGrid w:val="0"/>
        <w:spacing w:line="360" w:lineRule="auto"/>
        <w:textAlignment w:val="auto"/>
        <w:rPr>
          <w:rFonts w:ascii="Arial" w:hAnsi="Arial" w:cs="Arial"/>
          <w:kern w:val="0"/>
          <w:szCs w:val="21"/>
        </w:rPr>
      </w:pPr>
      <w:r>
        <w:rPr>
          <w:rFonts w:hint="eastAsia" w:ascii="Arial" w:hAnsi="Arial" w:cs="Arial"/>
          <w:kern w:val="0"/>
          <w:szCs w:val="21"/>
        </w:rPr>
        <w:t>投标人代表联系电话：（办公）（手机）</w:t>
      </w:r>
    </w:p>
    <w:p>
      <w:pPr>
        <w:keepNext w:val="0"/>
        <w:keepLines w:val="0"/>
        <w:pageBreakBefore w:val="0"/>
        <w:widowControl w:val="0"/>
        <w:tabs>
          <w:tab w:val="left" w:pos="480"/>
        </w:tabs>
        <w:kinsoku/>
        <w:wordWrap/>
        <w:overflowPunct/>
        <w:topLinePunct w:val="0"/>
        <w:autoSpaceDE/>
        <w:autoSpaceDN/>
        <w:bidi w:val="0"/>
        <w:snapToGrid w:val="0"/>
        <w:spacing w:line="360" w:lineRule="auto"/>
        <w:textAlignment w:val="auto"/>
        <w:rPr>
          <w:rFonts w:ascii="Arial" w:hAnsi="Arial" w:cs="Arial"/>
          <w:kern w:val="0"/>
          <w:szCs w:val="21"/>
        </w:rPr>
      </w:pPr>
      <w:r>
        <w:rPr>
          <w:rFonts w:ascii="Arial" w:hAnsi="Arial" w:cs="Arial"/>
          <w:kern w:val="0"/>
          <w:szCs w:val="21"/>
        </w:rPr>
        <w:t>E-mail</w:t>
      </w:r>
      <w:r>
        <w:rPr>
          <w:rFonts w:hint="eastAsia" w:ascii="Arial" w:hAnsi="Arial" w:cs="Arial"/>
          <w:kern w:val="0"/>
          <w:szCs w:val="21"/>
        </w:rPr>
        <w:t>：</w:t>
      </w:r>
    </w:p>
    <w:p>
      <w:pPr>
        <w:snapToGrid w:val="0"/>
        <w:spacing w:line="600" w:lineRule="exact"/>
        <w:ind w:firstLine="3780" w:firstLineChars="1800"/>
        <w:rPr>
          <w:rFonts w:ascii="Arial" w:hAnsi="Arial" w:cs="Arial"/>
          <w:kern w:val="0"/>
          <w:szCs w:val="21"/>
        </w:rPr>
      </w:pPr>
      <w:r>
        <w:rPr>
          <w:rFonts w:hint="eastAsia" w:ascii="Arial" w:hAnsi="Arial" w:cs="Arial"/>
          <w:kern w:val="0"/>
          <w:szCs w:val="21"/>
        </w:rPr>
        <w:t>投标人公章：</w:t>
      </w:r>
    </w:p>
    <w:p>
      <w:pPr>
        <w:tabs>
          <w:tab w:val="left" w:pos="3795"/>
        </w:tabs>
        <w:snapToGrid w:val="0"/>
        <w:spacing w:line="600" w:lineRule="exact"/>
        <w:rPr>
          <w:rFonts w:ascii="Arial" w:hAnsi="Arial" w:cs="Arial"/>
          <w:kern w:val="0"/>
          <w:szCs w:val="21"/>
        </w:rPr>
      </w:pPr>
      <w:r>
        <w:rPr>
          <w:rFonts w:ascii="Arial" w:hAnsi="Arial" w:cs="Arial"/>
          <w:kern w:val="0"/>
          <w:szCs w:val="21"/>
        </w:rPr>
        <w:tab/>
      </w:r>
      <w:r>
        <w:rPr>
          <w:rFonts w:hint="eastAsia" w:ascii="Arial" w:hAnsi="Arial" w:cs="Arial"/>
          <w:kern w:val="0"/>
          <w:szCs w:val="21"/>
        </w:rPr>
        <w:t>投标人代表（签字或签章</w:t>
      </w:r>
      <w:r>
        <w:rPr>
          <w:rFonts w:ascii="Arial" w:hAnsi="Arial" w:cs="Arial"/>
          <w:kern w:val="0"/>
          <w:szCs w:val="21"/>
        </w:rPr>
        <w:t>)</w:t>
      </w:r>
      <w:r>
        <w:rPr>
          <w:rFonts w:hint="eastAsia" w:ascii="Arial" w:hAnsi="Arial" w:cs="Arial"/>
          <w:kern w:val="0"/>
          <w:szCs w:val="21"/>
        </w:rPr>
        <w:t>：</w:t>
      </w:r>
    </w:p>
    <w:p>
      <w:pPr>
        <w:tabs>
          <w:tab w:val="left" w:pos="3825"/>
        </w:tabs>
        <w:snapToGrid w:val="0"/>
        <w:spacing w:line="600" w:lineRule="exact"/>
        <w:rPr>
          <w:rFonts w:ascii="Arial" w:hAnsi="Arial" w:cs="Arial"/>
          <w:kern w:val="0"/>
          <w:szCs w:val="21"/>
        </w:rPr>
      </w:pPr>
      <w:r>
        <w:rPr>
          <w:rFonts w:ascii="Arial" w:hAnsi="Arial" w:cs="Arial"/>
          <w:kern w:val="0"/>
          <w:szCs w:val="21"/>
        </w:rPr>
        <w:tab/>
      </w:r>
      <w:r>
        <w:rPr>
          <w:rFonts w:hint="eastAsia" w:ascii="Arial" w:hAnsi="Arial" w:cs="Arial"/>
          <w:kern w:val="0"/>
          <w:szCs w:val="21"/>
        </w:rPr>
        <w:t>日　期：</w:t>
      </w:r>
    </w:p>
    <w:p>
      <w:pPr>
        <w:snapToGrid w:val="0"/>
        <w:spacing w:line="480" w:lineRule="exact"/>
        <w:ind w:firstLine="420" w:firstLineChars="200"/>
        <w:rPr>
          <w:rFonts w:hint="eastAsia" w:ascii="Arial" w:hAnsi="Arial" w:cs="Arial"/>
          <w:kern w:val="0"/>
          <w:szCs w:val="21"/>
        </w:rPr>
      </w:pPr>
      <w:r>
        <w:rPr>
          <w:rFonts w:hint="eastAsia" w:ascii="Arial" w:hAnsi="Arial" w:cs="Arial"/>
          <w:kern w:val="0"/>
          <w:szCs w:val="21"/>
        </w:rPr>
        <w:t>说明：</w:t>
      </w:r>
      <w:r>
        <w:rPr>
          <w:rFonts w:ascii="Arial" w:hAnsi="Arial" w:cs="Arial"/>
          <w:kern w:val="0"/>
          <w:szCs w:val="21"/>
        </w:rPr>
        <w:t>1</w:t>
      </w:r>
      <w:r>
        <w:rPr>
          <w:rFonts w:hint="eastAsia" w:ascii="Arial" w:hAnsi="Arial" w:cs="Arial"/>
          <w:kern w:val="0"/>
          <w:szCs w:val="21"/>
        </w:rPr>
        <w:t>、除可填报项目外，对本投标函的任何实质性修改将导致投标无效。</w:t>
      </w:r>
    </w:p>
    <w:p>
      <w:pPr>
        <w:pStyle w:val="52"/>
        <w:jc w:val="both"/>
      </w:pPr>
    </w:p>
    <w:p>
      <w:pPr>
        <w:pStyle w:val="51"/>
      </w:pPr>
    </w:p>
    <w:p/>
    <w:p>
      <w:pPr>
        <w:snapToGrid w:val="0"/>
        <w:rPr>
          <w:rFonts w:hint="eastAsia" w:ascii="宋体" w:hAnsi="宋体" w:eastAsia="宋体" w:cs="宋体"/>
          <w:b/>
          <w:sz w:val="24"/>
          <w:szCs w:val="24"/>
        </w:rPr>
      </w:pPr>
      <w:r>
        <w:rPr>
          <w:rFonts w:hint="eastAsia" w:ascii="宋体" w:hAnsi="宋体" w:eastAsia="宋体" w:cs="宋体"/>
          <w:b/>
          <w:sz w:val="24"/>
          <w:szCs w:val="24"/>
        </w:rPr>
        <w:t>（</w:t>
      </w:r>
      <w:r>
        <w:rPr>
          <w:rFonts w:hint="eastAsia" w:ascii="宋体" w:hAnsi="宋体" w:cs="宋体"/>
          <w:b/>
          <w:sz w:val="24"/>
          <w:szCs w:val="24"/>
          <w:lang w:eastAsia="zh-CN"/>
        </w:rPr>
        <w:t>二</w:t>
      </w:r>
      <w:r>
        <w:rPr>
          <w:rFonts w:hint="eastAsia" w:ascii="宋体" w:hAnsi="宋体" w:eastAsia="宋体" w:cs="宋体"/>
          <w:b/>
          <w:sz w:val="24"/>
          <w:szCs w:val="24"/>
        </w:rPr>
        <w:t>）对商务要求的响应内容</w:t>
      </w:r>
    </w:p>
    <w:p>
      <w:pPr>
        <w:spacing w:line="360" w:lineRule="auto"/>
        <w:ind w:left="315" w:hanging="315" w:hangingChars="150"/>
        <w:rPr>
          <w:rFonts w:hint="eastAsia" w:ascii="宋体" w:hAnsi="宋体" w:eastAsia="宋体" w:cs="宋体"/>
          <w:szCs w:val="21"/>
        </w:rPr>
      </w:pPr>
      <w:r>
        <w:rPr>
          <w:rFonts w:hint="eastAsia" w:ascii="宋体" w:hAnsi="宋体" w:eastAsia="宋体" w:cs="宋体"/>
          <w:szCs w:val="21"/>
        </w:rPr>
        <w:t>根据本文件第四部分中商务要求内容进行响应。</w:t>
      </w:r>
    </w:p>
    <w:p>
      <w:pPr>
        <w:spacing w:line="360" w:lineRule="auto"/>
        <w:ind w:left="360" w:hanging="361" w:hangingChars="150"/>
        <w:rPr>
          <w:rFonts w:hint="eastAsia" w:ascii="宋体" w:hAnsi="宋体" w:eastAsia="宋体" w:cs="宋体"/>
          <w:b/>
          <w:sz w:val="24"/>
          <w:szCs w:val="24"/>
        </w:rPr>
      </w:pPr>
      <w:r>
        <w:rPr>
          <w:rFonts w:hint="eastAsia" w:ascii="宋体" w:hAnsi="宋体" w:eastAsia="宋体" w:cs="宋体"/>
          <w:b/>
          <w:sz w:val="24"/>
          <w:szCs w:val="24"/>
        </w:rPr>
        <w:t>（</w:t>
      </w:r>
      <w:r>
        <w:rPr>
          <w:rFonts w:hint="eastAsia" w:ascii="宋体" w:hAnsi="宋体" w:cs="宋体"/>
          <w:b/>
          <w:sz w:val="24"/>
          <w:szCs w:val="24"/>
          <w:lang w:eastAsia="zh-CN"/>
        </w:rPr>
        <w:t>三</w:t>
      </w:r>
      <w:r>
        <w:rPr>
          <w:rFonts w:hint="eastAsia" w:ascii="宋体" w:hAnsi="宋体" w:eastAsia="宋体" w:cs="宋体"/>
          <w:b/>
          <w:sz w:val="24"/>
          <w:szCs w:val="24"/>
        </w:rPr>
        <w:t>）对实质性要求的响应内容</w:t>
      </w:r>
    </w:p>
    <w:p>
      <w:pPr>
        <w:spacing w:line="360" w:lineRule="auto"/>
        <w:rPr>
          <w:rFonts w:hint="eastAsia" w:ascii="宋体" w:hAnsi="宋体" w:eastAsia="宋体" w:cs="宋体"/>
          <w:szCs w:val="21"/>
        </w:rPr>
      </w:pPr>
      <w:r>
        <w:rPr>
          <w:rFonts w:hint="eastAsia" w:ascii="宋体" w:hAnsi="宋体" w:eastAsia="宋体" w:cs="宋体"/>
          <w:szCs w:val="21"/>
        </w:rPr>
        <w:t>根据本文件第四部分中实质性要求内容进行响应。</w:t>
      </w:r>
    </w:p>
    <w:p>
      <w:pPr>
        <w:numPr>
          <w:ilvl w:val="0"/>
          <w:numId w:val="0"/>
        </w:numPr>
        <w:spacing w:line="480" w:lineRule="exact"/>
        <w:rPr>
          <w:rFonts w:hint="eastAsia" w:ascii="宋体" w:hAnsi="宋体"/>
          <w:b/>
          <w:bCs/>
          <w:szCs w:val="21"/>
        </w:rPr>
      </w:pPr>
      <w:bookmarkStart w:id="29" w:name="_Toc175644078"/>
    </w:p>
    <w:p>
      <w:pPr>
        <w:numPr>
          <w:ilvl w:val="0"/>
          <w:numId w:val="0"/>
        </w:numPr>
        <w:spacing w:line="480" w:lineRule="exact"/>
        <w:rPr>
          <w:rFonts w:hint="eastAsia" w:ascii="宋体" w:hAnsi="宋体"/>
          <w:b/>
          <w:bCs/>
          <w:szCs w:val="21"/>
          <w:lang w:eastAsia="zh-CN"/>
        </w:rPr>
      </w:pPr>
      <w:r>
        <w:rPr>
          <w:rFonts w:hint="eastAsia" w:ascii="宋体" w:hAnsi="宋体"/>
          <w:b/>
          <w:bCs/>
          <w:szCs w:val="21"/>
        </w:rPr>
        <w:t>主要</w:t>
      </w:r>
      <w:r>
        <w:rPr>
          <w:rFonts w:hint="eastAsia" w:ascii="宋体" w:hAnsi="宋体"/>
          <w:b/>
          <w:bCs/>
          <w:szCs w:val="21"/>
          <w:lang w:eastAsia="zh-CN"/>
        </w:rPr>
        <w:t>产品</w:t>
      </w:r>
      <w:r>
        <w:rPr>
          <w:rFonts w:hint="eastAsia" w:ascii="宋体" w:hAnsi="宋体"/>
          <w:b/>
          <w:bCs/>
          <w:szCs w:val="21"/>
        </w:rPr>
        <w:t>技术指标和运行性能的详细描述；</w:t>
      </w:r>
      <w:r>
        <w:rPr>
          <w:rFonts w:hint="eastAsia" w:ascii="宋体" w:hAnsi="宋体"/>
          <w:b/>
          <w:bCs/>
          <w:szCs w:val="21"/>
          <w:lang w:eastAsia="zh-CN"/>
        </w:rPr>
        <w:t>（格式自定）</w:t>
      </w:r>
    </w:p>
    <w:p>
      <w:pPr>
        <w:numPr>
          <w:ilvl w:val="0"/>
          <w:numId w:val="0"/>
        </w:numPr>
        <w:spacing w:line="480" w:lineRule="exact"/>
        <w:rPr>
          <w:rFonts w:hint="eastAsia" w:ascii="Arial" w:hAnsi="Arial" w:cs="Arial"/>
          <w:b/>
          <w:kern w:val="0"/>
          <w:szCs w:val="21"/>
        </w:rPr>
      </w:pPr>
    </w:p>
    <w:p>
      <w:pPr>
        <w:numPr>
          <w:ilvl w:val="0"/>
          <w:numId w:val="0"/>
        </w:numPr>
        <w:spacing w:line="480" w:lineRule="exact"/>
        <w:rPr>
          <w:rFonts w:ascii="Arial" w:hAnsi="Arial" w:cs="Arial"/>
          <w:b/>
          <w:kern w:val="0"/>
          <w:szCs w:val="21"/>
        </w:rPr>
      </w:pPr>
      <w:r>
        <w:rPr>
          <w:rFonts w:hint="eastAsia" w:ascii="Arial" w:hAnsi="Arial" w:cs="Arial"/>
          <w:b/>
          <w:kern w:val="0"/>
          <w:szCs w:val="21"/>
        </w:rPr>
        <w:t>投标货物技术规范响应及偏离表</w:t>
      </w:r>
    </w:p>
    <w:p>
      <w:pPr>
        <w:spacing w:line="480" w:lineRule="exact"/>
        <w:jc w:val="center"/>
        <w:rPr>
          <w:rFonts w:ascii="Arial" w:hAnsi="Arial" w:cs="Arial"/>
          <w:kern w:val="0"/>
          <w:szCs w:val="21"/>
        </w:rPr>
      </w:pPr>
      <w:r>
        <w:rPr>
          <w:rFonts w:hint="eastAsia" w:ascii="Arial" w:hAnsi="Arial" w:cs="Arial"/>
          <w:b/>
          <w:kern w:val="0"/>
          <w:szCs w:val="21"/>
        </w:rPr>
        <w:t>投标货物技术规范响应及偏离表</w:t>
      </w:r>
      <w:bookmarkEnd w:id="29"/>
    </w:p>
    <w:p>
      <w:pPr>
        <w:spacing w:before="100" w:beforeAutospacing="1" w:line="480" w:lineRule="exact"/>
        <w:rPr>
          <w:rFonts w:ascii="Arial" w:hAnsi="Arial" w:cs="Arial"/>
          <w:kern w:val="0"/>
          <w:szCs w:val="21"/>
        </w:rPr>
      </w:pPr>
      <w:r>
        <w:rPr>
          <w:rFonts w:hint="eastAsia" w:ascii="Arial" w:hAnsi="Arial" w:cs="Arial"/>
          <w:kern w:val="0"/>
          <w:szCs w:val="21"/>
        </w:rPr>
        <w:t>项目名称：</w:t>
      </w:r>
    </w:p>
    <w:p>
      <w:pPr>
        <w:spacing w:line="480" w:lineRule="exact"/>
        <w:rPr>
          <w:rFonts w:ascii="Arial" w:hAnsi="Arial" w:cs="Arial"/>
          <w:kern w:val="0"/>
          <w:szCs w:val="21"/>
        </w:rPr>
      </w:pPr>
      <w:r>
        <w:rPr>
          <w:rFonts w:hint="eastAsia" w:ascii="Arial" w:hAnsi="Arial" w:cs="Arial"/>
          <w:kern w:val="0"/>
          <w:szCs w:val="21"/>
        </w:rPr>
        <w:t>项目编号：</w:t>
      </w:r>
    </w:p>
    <w:p>
      <w:pPr>
        <w:spacing w:after="100" w:afterAutospacing="1" w:line="480" w:lineRule="exact"/>
        <w:rPr>
          <w:rFonts w:ascii="Arial" w:hAnsi="Arial" w:cs="Arial"/>
          <w:kern w:val="0"/>
          <w:szCs w:val="21"/>
        </w:rPr>
      </w:pPr>
      <w:r>
        <w:rPr>
          <w:rFonts w:hint="eastAsia" w:ascii="Arial" w:hAnsi="Arial" w:cs="Arial"/>
          <w:kern w:val="0"/>
          <w:szCs w:val="21"/>
        </w:rPr>
        <w:t>投标人名称：</w:t>
      </w:r>
      <w:r>
        <w:rPr>
          <w:rFonts w:hint="eastAsia" w:ascii="Arial" w:hAnsi="Arial" w:cs="Arial"/>
          <w:kern w:val="0"/>
          <w:szCs w:val="21"/>
          <w:u w:val="single"/>
        </w:rPr>
        <w:t>（公章）</w:t>
      </w:r>
    </w:p>
    <w:tbl>
      <w:tblPr>
        <w:tblStyle w:val="59"/>
        <w:tblW w:w="96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50"/>
        <w:gridCol w:w="737"/>
        <w:gridCol w:w="1139"/>
        <w:gridCol w:w="743"/>
        <w:gridCol w:w="1963"/>
        <w:gridCol w:w="1876"/>
        <w:gridCol w:w="1445"/>
        <w:gridCol w:w="7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17" w:hRule="atLeast"/>
          <w:jc w:val="center"/>
        </w:trPr>
        <w:tc>
          <w:tcPr>
            <w:tcW w:w="950"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r>
              <w:rPr>
                <w:rFonts w:hint="eastAsia" w:ascii="Arial" w:hAnsi="Arial" w:cs="Arial"/>
                <w:kern w:val="0"/>
                <w:szCs w:val="21"/>
              </w:rPr>
              <w:t>包号</w:t>
            </w:r>
          </w:p>
        </w:tc>
        <w:tc>
          <w:tcPr>
            <w:tcW w:w="737" w:type="dxa"/>
            <w:tcBorders>
              <w:top w:val="single" w:color="000000" w:sz="6" w:space="0"/>
              <w:left w:val="single" w:color="000000" w:sz="6" w:space="0"/>
              <w:bottom w:val="single" w:color="000000" w:sz="6" w:space="0"/>
              <w:right w:val="single" w:color="auto" w:sz="4" w:space="0"/>
            </w:tcBorders>
            <w:vAlign w:val="center"/>
          </w:tcPr>
          <w:p>
            <w:pPr>
              <w:snapToGrid w:val="0"/>
              <w:spacing w:line="480" w:lineRule="exact"/>
              <w:jc w:val="center"/>
              <w:rPr>
                <w:rFonts w:ascii="Arial" w:hAnsi="Arial" w:cs="Arial"/>
                <w:kern w:val="0"/>
                <w:szCs w:val="21"/>
              </w:rPr>
            </w:pPr>
            <w:r>
              <w:rPr>
                <w:rFonts w:hint="eastAsia" w:ascii="Arial" w:hAnsi="Arial" w:cs="Arial"/>
                <w:kern w:val="0"/>
                <w:szCs w:val="21"/>
              </w:rPr>
              <w:t>序号</w:t>
            </w:r>
          </w:p>
        </w:tc>
        <w:tc>
          <w:tcPr>
            <w:tcW w:w="1139" w:type="dxa"/>
            <w:tcBorders>
              <w:top w:val="single" w:color="000000" w:sz="6" w:space="0"/>
              <w:left w:val="single" w:color="auto" w:sz="4"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r>
              <w:rPr>
                <w:rFonts w:hint="eastAsia" w:ascii="Arial" w:hAnsi="Arial" w:cs="Arial"/>
                <w:kern w:val="0"/>
                <w:szCs w:val="21"/>
              </w:rPr>
              <w:t>货物名称</w:t>
            </w:r>
          </w:p>
        </w:tc>
        <w:tc>
          <w:tcPr>
            <w:tcW w:w="743"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r>
              <w:rPr>
                <w:rFonts w:hint="eastAsia" w:ascii="Arial" w:hAnsi="Arial" w:cs="Arial"/>
                <w:kern w:val="0"/>
                <w:szCs w:val="21"/>
              </w:rPr>
              <w:t>数量</w:t>
            </w:r>
          </w:p>
        </w:tc>
        <w:tc>
          <w:tcPr>
            <w:tcW w:w="1963"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r>
              <w:rPr>
                <w:rFonts w:hint="eastAsia" w:ascii="Arial" w:hAnsi="Arial" w:cs="Arial"/>
                <w:kern w:val="0"/>
                <w:szCs w:val="21"/>
              </w:rPr>
              <w:t>招标文件技术</w:t>
            </w:r>
          </w:p>
          <w:p>
            <w:pPr>
              <w:snapToGrid w:val="0"/>
              <w:spacing w:line="480" w:lineRule="exact"/>
              <w:jc w:val="center"/>
              <w:rPr>
                <w:rFonts w:ascii="Arial" w:hAnsi="Arial" w:cs="Arial"/>
                <w:kern w:val="0"/>
                <w:szCs w:val="21"/>
              </w:rPr>
            </w:pPr>
            <w:r>
              <w:rPr>
                <w:rFonts w:hint="eastAsia" w:ascii="Arial" w:hAnsi="Arial" w:cs="Arial"/>
                <w:kern w:val="0"/>
                <w:szCs w:val="21"/>
              </w:rPr>
              <w:t>规范、要求</w:t>
            </w:r>
          </w:p>
        </w:tc>
        <w:tc>
          <w:tcPr>
            <w:tcW w:w="1876"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r>
              <w:rPr>
                <w:rFonts w:hint="eastAsia" w:ascii="Arial" w:hAnsi="Arial" w:cs="Arial"/>
                <w:kern w:val="0"/>
                <w:szCs w:val="21"/>
              </w:rPr>
              <w:t>投标文件</w:t>
            </w:r>
          </w:p>
          <w:p>
            <w:pPr>
              <w:snapToGrid w:val="0"/>
              <w:spacing w:line="480" w:lineRule="exact"/>
              <w:jc w:val="center"/>
              <w:rPr>
                <w:rFonts w:ascii="Arial" w:hAnsi="Arial" w:cs="Arial"/>
                <w:kern w:val="0"/>
                <w:szCs w:val="21"/>
              </w:rPr>
            </w:pPr>
            <w:r>
              <w:rPr>
                <w:rFonts w:hint="eastAsia" w:ascii="Arial" w:hAnsi="Arial" w:cs="Arial"/>
                <w:kern w:val="0"/>
                <w:szCs w:val="21"/>
              </w:rPr>
              <w:t>对应规范</w:t>
            </w:r>
          </w:p>
        </w:tc>
        <w:tc>
          <w:tcPr>
            <w:tcW w:w="1445"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r>
              <w:rPr>
                <w:rFonts w:hint="eastAsia" w:ascii="Arial" w:hAnsi="Arial" w:cs="Arial"/>
                <w:kern w:val="0"/>
                <w:szCs w:val="21"/>
              </w:rPr>
              <w:t>偏离情况</w:t>
            </w:r>
          </w:p>
        </w:tc>
        <w:tc>
          <w:tcPr>
            <w:tcW w:w="798"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r>
              <w:rPr>
                <w:rFonts w:hint="eastAsia" w:ascii="Arial" w:hAnsi="Arial" w:cs="Arial"/>
                <w:kern w:val="0"/>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7" w:hRule="atLeast"/>
          <w:jc w:val="center"/>
        </w:trPr>
        <w:tc>
          <w:tcPr>
            <w:tcW w:w="950"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p>
        </w:tc>
        <w:tc>
          <w:tcPr>
            <w:tcW w:w="737" w:type="dxa"/>
            <w:tcBorders>
              <w:top w:val="single" w:color="000000" w:sz="6" w:space="0"/>
              <w:left w:val="single" w:color="000000" w:sz="6" w:space="0"/>
              <w:bottom w:val="single" w:color="000000" w:sz="6" w:space="0"/>
              <w:right w:val="single" w:color="auto" w:sz="4" w:space="0"/>
            </w:tcBorders>
            <w:vAlign w:val="center"/>
          </w:tcPr>
          <w:p>
            <w:pPr>
              <w:snapToGrid w:val="0"/>
              <w:spacing w:line="480" w:lineRule="exact"/>
              <w:jc w:val="center"/>
              <w:rPr>
                <w:rFonts w:ascii="Arial" w:hAnsi="Arial" w:cs="Arial"/>
                <w:kern w:val="0"/>
                <w:szCs w:val="21"/>
              </w:rPr>
            </w:pPr>
          </w:p>
        </w:tc>
        <w:tc>
          <w:tcPr>
            <w:tcW w:w="1139" w:type="dxa"/>
            <w:tcBorders>
              <w:top w:val="single" w:color="000000" w:sz="6" w:space="0"/>
              <w:left w:val="single" w:color="auto" w:sz="4"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p>
        </w:tc>
        <w:tc>
          <w:tcPr>
            <w:tcW w:w="743"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p>
        </w:tc>
        <w:tc>
          <w:tcPr>
            <w:tcW w:w="1963"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p>
        </w:tc>
        <w:tc>
          <w:tcPr>
            <w:tcW w:w="1876"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p>
        </w:tc>
        <w:tc>
          <w:tcPr>
            <w:tcW w:w="1445"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p>
        </w:tc>
        <w:tc>
          <w:tcPr>
            <w:tcW w:w="798"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84" w:hRule="atLeast"/>
          <w:jc w:val="center"/>
        </w:trPr>
        <w:tc>
          <w:tcPr>
            <w:tcW w:w="950"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p>
        </w:tc>
        <w:tc>
          <w:tcPr>
            <w:tcW w:w="737" w:type="dxa"/>
            <w:tcBorders>
              <w:top w:val="single" w:color="000000" w:sz="6" w:space="0"/>
              <w:left w:val="single" w:color="000000" w:sz="6" w:space="0"/>
              <w:bottom w:val="single" w:color="000000" w:sz="6" w:space="0"/>
              <w:right w:val="single" w:color="auto" w:sz="4" w:space="0"/>
            </w:tcBorders>
            <w:vAlign w:val="center"/>
          </w:tcPr>
          <w:p>
            <w:pPr>
              <w:snapToGrid w:val="0"/>
              <w:spacing w:line="480" w:lineRule="exact"/>
              <w:jc w:val="center"/>
              <w:rPr>
                <w:rFonts w:ascii="Arial" w:hAnsi="Arial" w:cs="Arial"/>
                <w:kern w:val="0"/>
                <w:szCs w:val="21"/>
              </w:rPr>
            </w:pPr>
          </w:p>
        </w:tc>
        <w:tc>
          <w:tcPr>
            <w:tcW w:w="1139" w:type="dxa"/>
            <w:tcBorders>
              <w:top w:val="single" w:color="000000" w:sz="6" w:space="0"/>
              <w:left w:val="single" w:color="auto" w:sz="4"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p>
        </w:tc>
        <w:tc>
          <w:tcPr>
            <w:tcW w:w="743"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p>
        </w:tc>
        <w:tc>
          <w:tcPr>
            <w:tcW w:w="1963"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p>
        </w:tc>
        <w:tc>
          <w:tcPr>
            <w:tcW w:w="1876"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p>
        </w:tc>
        <w:tc>
          <w:tcPr>
            <w:tcW w:w="1445"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p>
        </w:tc>
        <w:tc>
          <w:tcPr>
            <w:tcW w:w="798"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62" w:hRule="atLeast"/>
          <w:jc w:val="center"/>
        </w:trPr>
        <w:tc>
          <w:tcPr>
            <w:tcW w:w="950"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r>
              <w:rPr>
                <w:rFonts w:hint="eastAsia" w:ascii="Arial" w:hAnsi="Arial" w:cs="Arial"/>
                <w:kern w:val="0"/>
                <w:szCs w:val="21"/>
              </w:rPr>
              <w:t>……</w:t>
            </w:r>
          </w:p>
        </w:tc>
        <w:tc>
          <w:tcPr>
            <w:tcW w:w="737" w:type="dxa"/>
            <w:tcBorders>
              <w:top w:val="single" w:color="000000" w:sz="6" w:space="0"/>
              <w:left w:val="single" w:color="000000" w:sz="6" w:space="0"/>
              <w:bottom w:val="single" w:color="000000" w:sz="6" w:space="0"/>
              <w:right w:val="single" w:color="auto" w:sz="4" w:space="0"/>
            </w:tcBorders>
            <w:vAlign w:val="center"/>
          </w:tcPr>
          <w:p>
            <w:pPr>
              <w:snapToGrid w:val="0"/>
              <w:spacing w:line="480" w:lineRule="exact"/>
              <w:jc w:val="center"/>
              <w:rPr>
                <w:rFonts w:ascii="Arial" w:hAnsi="Arial" w:cs="Arial"/>
                <w:kern w:val="0"/>
                <w:szCs w:val="21"/>
              </w:rPr>
            </w:pPr>
            <w:r>
              <w:rPr>
                <w:rFonts w:hint="eastAsia" w:ascii="Arial" w:hAnsi="Arial" w:cs="Arial"/>
                <w:kern w:val="0"/>
                <w:szCs w:val="21"/>
              </w:rPr>
              <w:t>……</w:t>
            </w:r>
          </w:p>
        </w:tc>
        <w:tc>
          <w:tcPr>
            <w:tcW w:w="1139" w:type="dxa"/>
            <w:tcBorders>
              <w:top w:val="single" w:color="000000" w:sz="6" w:space="0"/>
              <w:left w:val="single" w:color="auto" w:sz="4"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r>
              <w:rPr>
                <w:rFonts w:hint="eastAsia" w:ascii="Arial" w:hAnsi="Arial" w:cs="Arial"/>
                <w:kern w:val="0"/>
                <w:szCs w:val="21"/>
              </w:rPr>
              <w:t>……</w:t>
            </w:r>
          </w:p>
        </w:tc>
        <w:tc>
          <w:tcPr>
            <w:tcW w:w="743"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r>
              <w:rPr>
                <w:rFonts w:hint="eastAsia" w:ascii="Arial" w:hAnsi="Arial" w:cs="Arial"/>
                <w:kern w:val="0"/>
                <w:szCs w:val="21"/>
              </w:rPr>
              <w:t>……</w:t>
            </w:r>
          </w:p>
        </w:tc>
        <w:tc>
          <w:tcPr>
            <w:tcW w:w="1963"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r>
              <w:rPr>
                <w:rFonts w:hint="eastAsia" w:ascii="Arial" w:hAnsi="Arial" w:cs="Arial"/>
                <w:kern w:val="0"/>
                <w:szCs w:val="21"/>
              </w:rPr>
              <w:t>……</w:t>
            </w:r>
          </w:p>
        </w:tc>
        <w:tc>
          <w:tcPr>
            <w:tcW w:w="1876"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r>
              <w:rPr>
                <w:rFonts w:hint="eastAsia" w:ascii="Arial" w:hAnsi="Arial" w:cs="Arial"/>
                <w:kern w:val="0"/>
                <w:szCs w:val="21"/>
              </w:rPr>
              <w:t>……</w:t>
            </w:r>
          </w:p>
        </w:tc>
        <w:tc>
          <w:tcPr>
            <w:tcW w:w="1445"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r>
              <w:rPr>
                <w:rFonts w:hint="eastAsia" w:ascii="Arial" w:hAnsi="Arial" w:cs="Arial"/>
                <w:kern w:val="0"/>
                <w:szCs w:val="21"/>
              </w:rPr>
              <w:t>……</w:t>
            </w:r>
          </w:p>
        </w:tc>
        <w:tc>
          <w:tcPr>
            <w:tcW w:w="798" w:type="dxa"/>
            <w:tcBorders>
              <w:top w:val="single" w:color="000000" w:sz="6" w:space="0"/>
              <w:left w:val="single" w:color="000000" w:sz="6" w:space="0"/>
              <w:bottom w:val="single" w:color="000000" w:sz="6" w:space="0"/>
              <w:right w:val="single" w:color="000000" w:sz="6" w:space="0"/>
            </w:tcBorders>
            <w:vAlign w:val="center"/>
          </w:tcPr>
          <w:p>
            <w:pPr>
              <w:snapToGrid w:val="0"/>
              <w:spacing w:line="480" w:lineRule="exact"/>
              <w:jc w:val="center"/>
              <w:rPr>
                <w:rFonts w:ascii="Arial" w:hAnsi="Arial" w:cs="Arial"/>
                <w:kern w:val="0"/>
                <w:szCs w:val="21"/>
              </w:rPr>
            </w:pPr>
            <w:r>
              <w:rPr>
                <w:rFonts w:hint="eastAsia" w:ascii="Arial" w:hAnsi="Arial" w:cs="Arial"/>
                <w:kern w:val="0"/>
                <w:szCs w:val="21"/>
              </w:rPr>
              <w:t>……</w:t>
            </w:r>
          </w:p>
        </w:tc>
      </w:tr>
    </w:tbl>
    <w:p>
      <w:pPr>
        <w:numPr>
          <w:ilvl w:val="0"/>
          <w:numId w:val="8"/>
        </w:numPr>
        <w:spacing w:line="360" w:lineRule="exact"/>
        <w:ind w:left="0" w:leftChars="0" w:firstLine="0" w:firstLineChars="0"/>
        <w:rPr>
          <w:rFonts w:hint="eastAsia" w:ascii="宋体" w:hAnsi="宋体" w:cs="宋体"/>
          <w:b/>
          <w:sz w:val="24"/>
          <w:lang w:eastAsia="zh-CN"/>
        </w:rPr>
      </w:pPr>
      <w:r>
        <w:rPr>
          <w:rFonts w:hint="eastAsia" w:ascii="宋体" w:hAnsi="宋体" w:cs="宋体"/>
          <w:b/>
          <w:sz w:val="24"/>
          <w:lang w:eastAsia="zh-CN"/>
        </w:rPr>
        <w:t>对技术要求的响应内容</w:t>
      </w:r>
    </w:p>
    <w:p>
      <w:pPr>
        <w:spacing w:line="360" w:lineRule="exact"/>
        <w:rPr>
          <w:rFonts w:hint="eastAsia" w:ascii="宋体" w:hAnsi="宋体" w:eastAsia="宋体" w:cs="宋体"/>
          <w:szCs w:val="21"/>
        </w:rPr>
      </w:pPr>
      <w:r>
        <w:rPr>
          <w:rFonts w:hint="eastAsia" w:ascii="宋体" w:hAnsi="宋体" w:eastAsia="宋体" w:cs="宋体"/>
          <w:szCs w:val="21"/>
        </w:rPr>
        <w:t>根据本文件第四部分</w:t>
      </w:r>
      <w:r>
        <w:rPr>
          <w:rFonts w:hint="eastAsia" w:ascii="宋体" w:hAnsi="宋体" w:eastAsia="宋体" w:cs="宋体"/>
          <w:szCs w:val="21"/>
          <w:lang w:eastAsia="zh-CN"/>
        </w:rPr>
        <w:t>技术要求</w:t>
      </w:r>
      <w:r>
        <w:rPr>
          <w:rFonts w:hint="eastAsia" w:ascii="宋体" w:hAnsi="宋体" w:eastAsia="宋体" w:cs="宋体"/>
          <w:szCs w:val="21"/>
        </w:rPr>
        <w:t>中的内容进行响应。</w:t>
      </w:r>
    </w:p>
    <w:p>
      <w:pPr>
        <w:spacing w:line="360" w:lineRule="exact"/>
        <w:rPr>
          <w:rFonts w:hint="eastAsia" w:ascii="宋体" w:hAnsi="宋体" w:eastAsia="宋体" w:cs="宋体"/>
          <w:b/>
          <w:sz w:val="24"/>
        </w:rPr>
      </w:pPr>
      <w:r>
        <w:rPr>
          <w:rFonts w:hint="eastAsia" w:ascii="宋体" w:hAnsi="宋体" w:eastAsia="宋体" w:cs="宋体"/>
          <w:b/>
          <w:sz w:val="24"/>
          <w:lang w:eastAsia="zh-CN"/>
        </w:rPr>
        <w:t>（五）</w:t>
      </w:r>
      <w:r>
        <w:rPr>
          <w:rFonts w:hint="eastAsia" w:ascii="宋体" w:hAnsi="宋体" w:eastAsia="宋体" w:cs="宋体"/>
          <w:b/>
          <w:sz w:val="24"/>
        </w:rPr>
        <w:t>对非实质性要求的响应内容</w:t>
      </w:r>
    </w:p>
    <w:p>
      <w:pPr>
        <w:pStyle w:val="55"/>
        <w:spacing w:before="75" w:beforeAutospacing="0" w:after="75" w:afterAutospacing="0"/>
        <w:rPr>
          <w:rFonts w:hint="eastAsia" w:ascii="宋体" w:hAnsi="宋体" w:eastAsia="宋体" w:cs="宋体"/>
          <w:szCs w:val="21"/>
        </w:rPr>
      </w:pPr>
      <w:r>
        <w:rPr>
          <w:rFonts w:hint="eastAsia" w:ascii="宋体" w:hAnsi="宋体" w:eastAsia="宋体" w:cs="宋体"/>
          <w:szCs w:val="21"/>
        </w:rPr>
        <w:t>根据本文件第四部分非实质性要求中的内容进行响应。</w:t>
      </w:r>
    </w:p>
    <w:p>
      <w:pPr>
        <w:spacing w:line="360" w:lineRule="exact"/>
        <w:rPr>
          <w:rFonts w:hint="eastAsia" w:ascii="宋体" w:hAnsi="宋体" w:eastAsia="宋体" w:cs="宋体"/>
          <w:b/>
          <w:sz w:val="24"/>
        </w:rPr>
      </w:pPr>
      <w:bookmarkStart w:id="30" w:name="_Toc637"/>
      <w:bookmarkStart w:id="31" w:name="_Toc352761954"/>
      <w:r>
        <w:rPr>
          <w:rFonts w:hint="eastAsia" w:ascii="宋体" w:hAnsi="宋体" w:eastAsia="宋体" w:cs="宋体"/>
          <w:b/>
          <w:sz w:val="24"/>
        </w:rPr>
        <w:t>（</w:t>
      </w:r>
      <w:r>
        <w:rPr>
          <w:rFonts w:hint="eastAsia" w:ascii="宋体" w:hAnsi="宋体" w:eastAsia="宋体" w:cs="宋体"/>
          <w:b/>
          <w:sz w:val="24"/>
          <w:lang w:eastAsia="zh-CN"/>
        </w:rPr>
        <w:t>六</w:t>
      </w:r>
      <w:r>
        <w:rPr>
          <w:rFonts w:hint="eastAsia" w:ascii="宋体" w:hAnsi="宋体" w:eastAsia="宋体" w:cs="宋体"/>
          <w:b/>
          <w:sz w:val="24"/>
        </w:rPr>
        <w:t>）</w:t>
      </w:r>
      <w:r>
        <w:rPr>
          <w:rFonts w:hint="eastAsia" w:ascii="宋体" w:hAnsi="宋体" w:eastAsia="宋体" w:cs="宋体"/>
          <w:b/>
          <w:sz w:val="24"/>
          <w:lang w:eastAsia="zh-CN"/>
        </w:rPr>
        <w:t>招标</w:t>
      </w:r>
      <w:r>
        <w:rPr>
          <w:rFonts w:hint="eastAsia" w:ascii="宋体" w:hAnsi="宋体" w:eastAsia="宋体" w:cs="宋体"/>
          <w:b/>
          <w:sz w:val="24"/>
        </w:rPr>
        <w:t>文件要求或</w:t>
      </w:r>
      <w:r>
        <w:rPr>
          <w:rFonts w:hint="eastAsia" w:ascii="宋体" w:hAnsi="宋体" w:eastAsia="宋体" w:cs="宋体"/>
          <w:b/>
          <w:sz w:val="24"/>
          <w:lang w:eastAsia="zh-CN"/>
        </w:rPr>
        <w:t>投标人</w:t>
      </w:r>
      <w:r>
        <w:rPr>
          <w:rFonts w:hint="eastAsia" w:ascii="宋体" w:hAnsi="宋体" w:eastAsia="宋体" w:cs="宋体"/>
          <w:b/>
          <w:sz w:val="24"/>
        </w:rPr>
        <w:t>认为需要提供的其他商务技术材料/文件。</w:t>
      </w:r>
    </w:p>
    <w:p>
      <w:pPr>
        <w:spacing w:line="360" w:lineRule="exact"/>
        <w:rPr>
          <w:rFonts w:hint="eastAsia" w:ascii="宋体" w:hAnsi="宋体" w:eastAsia="宋体" w:cs="宋体"/>
          <w:b/>
          <w:sz w:val="24"/>
          <w:lang w:eastAsia="zh-CN"/>
        </w:rPr>
      </w:pPr>
      <w:r>
        <w:rPr>
          <w:rFonts w:hint="eastAsia" w:ascii="宋体" w:hAnsi="宋体" w:eastAsia="宋体" w:cs="宋体"/>
          <w:b/>
          <w:sz w:val="24"/>
        </w:rPr>
        <w:t>（</w:t>
      </w:r>
      <w:r>
        <w:rPr>
          <w:rFonts w:hint="eastAsia" w:ascii="宋体" w:hAnsi="宋体" w:eastAsia="宋体" w:cs="宋体"/>
          <w:b/>
          <w:sz w:val="24"/>
          <w:lang w:eastAsia="zh-CN"/>
        </w:rPr>
        <w:t>七</w:t>
      </w:r>
      <w:r>
        <w:rPr>
          <w:rFonts w:hint="eastAsia" w:ascii="宋体" w:hAnsi="宋体" w:eastAsia="宋体" w:cs="宋体"/>
          <w:b/>
          <w:sz w:val="24"/>
        </w:rPr>
        <w:t>）</w:t>
      </w:r>
      <w:r>
        <w:rPr>
          <w:rFonts w:hint="eastAsia" w:ascii="宋体" w:hAnsi="宋体" w:eastAsia="宋体" w:cs="宋体"/>
          <w:b/>
          <w:sz w:val="24"/>
          <w:lang w:eastAsia="zh-CN"/>
        </w:rPr>
        <w:t>开标报价一览表</w:t>
      </w:r>
    </w:p>
    <w:p>
      <w:pPr>
        <w:spacing w:line="480" w:lineRule="exact"/>
        <w:jc w:val="both"/>
        <w:rPr>
          <w:rFonts w:hint="eastAsia" w:ascii="宋体" w:hAnsi="宋体" w:eastAsia="宋体" w:cs="宋体"/>
          <w:kern w:val="0"/>
          <w:sz w:val="24"/>
          <w:szCs w:val="21"/>
          <w:lang w:val="en-US" w:eastAsia="zh-CN" w:bidi="ar-SA"/>
        </w:rPr>
      </w:pPr>
      <w:r>
        <w:rPr>
          <w:rFonts w:hint="eastAsia" w:ascii="宋体" w:hAnsi="宋体" w:eastAsia="宋体" w:cs="宋体"/>
          <w:kern w:val="0"/>
          <w:sz w:val="24"/>
          <w:szCs w:val="21"/>
          <w:lang w:val="en-US" w:eastAsia="zh-CN" w:bidi="ar-SA"/>
        </w:rPr>
        <w:t>以系统内格式为准</w:t>
      </w:r>
    </w:p>
    <w:p>
      <w:pPr>
        <w:keepNext/>
        <w:keepLines/>
        <w:adjustRightInd w:val="0"/>
        <w:snapToGrid w:val="0"/>
        <w:jc w:val="both"/>
        <w:outlineLvl w:val="0"/>
        <w:rPr>
          <w:rFonts w:hint="eastAsia" w:ascii="宋体" w:hAnsi="宋体" w:eastAsia="宋体" w:cs="宋体"/>
          <w:kern w:val="0"/>
          <w:sz w:val="24"/>
          <w:szCs w:val="21"/>
          <w:lang w:val="en-US" w:eastAsia="zh-CN" w:bidi="ar-SA"/>
        </w:rPr>
      </w:pPr>
    </w:p>
    <w:p>
      <w:pPr>
        <w:keepNext/>
        <w:keepLines/>
        <w:adjustRightInd w:val="0"/>
        <w:snapToGrid w:val="0"/>
        <w:jc w:val="center"/>
        <w:outlineLvl w:val="0"/>
        <w:rPr>
          <w:rFonts w:hint="eastAsia" w:ascii="Arial" w:hAnsi="Arial" w:cs="Arial"/>
          <w:b/>
          <w:kern w:val="0"/>
          <w:sz w:val="28"/>
          <w:szCs w:val="28"/>
        </w:rPr>
      </w:pPr>
    </w:p>
    <w:p>
      <w:pPr>
        <w:keepNext/>
        <w:keepLines/>
        <w:adjustRightInd w:val="0"/>
        <w:snapToGrid w:val="0"/>
        <w:jc w:val="center"/>
        <w:outlineLvl w:val="0"/>
        <w:rPr>
          <w:rFonts w:hint="eastAsia" w:ascii="Arial" w:hAnsi="Arial" w:cs="Arial"/>
          <w:b/>
          <w:kern w:val="0"/>
          <w:sz w:val="28"/>
          <w:szCs w:val="28"/>
        </w:rPr>
      </w:pPr>
    </w:p>
    <w:p>
      <w:pPr>
        <w:keepNext/>
        <w:keepLines/>
        <w:adjustRightInd w:val="0"/>
        <w:snapToGrid w:val="0"/>
        <w:jc w:val="center"/>
        <w:outlineLvl w:val="0"/>
        <w:rPr>
          <w:rFonts w:hint="eastAsia" w:ascii="Arial" w:hAnsi="Arial" w:cs="Arial"/>
          <w:b/>
          <w:kern w:val="0"/>
          <w:sz w:val="28"/>
          <w:szCs w:val="28"/>
        </w:rPr>
      </w:pPr>
    </w:p>
    <w:p>
      <w:pPr>
        <w:keepNext/>
        <w:keepLines/>
        <w:adjustRightInd w:val="0"/>
        <w:snapToGrid w:val="0"/>
        <w:jc w:val="center"/>
        <w:outlineLvl w:val="0"/>
        <w:rPr>
          <w:rFonts w:hint="eastAsia" w:ascii="Arial" w:hAnsi="Arial" w:cs="Arial"/>
          <w:b/>
          <w:kern w:val="0"/>
          <w:sz w:val="28"/>
          <w:szCs w:val="28"/>
        </w:rPr>
      </w:pPr>
    </w:p>
    <w:p>
      <w:pPr>
        <w:keepNext/>
        <w:keepLines/>
        <w:adjustRightInd w:val="0"/>
        <w:snapToGrid w:val="0"/>
        <w:jc w:val="center"/>
        <w:outlineLvl w:val="0"/>
        <w:rPr>
          <w:rFonts w:hint="eastAsia" w:ascii="Arial" w:hAnsi="Arial" w:cs="Arial"/>
          <w:b/>
          <w:kern w:val="0"/>
          <w:sz w:val="28"/>
          <w:szCs w:val="28"/>
        </w:rPr>
      </w:pPr>
    </w:p>
    <w:bookmarkEnd w:id="30"/>
    <w:bookmarkEnd w:id="31"/>
    <w:p>
      <w:pPr>
        <w:rPr>
          <w:b/>
          <w:bCs/>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Book Antiqua">
    <w:panose1 w:val="02040602050305030304"/>
    <w:charset w:val="00"/>
    <w:family w:val="roman"/>
    <w:pitch w:val="default"/>
    <w:sig w:usb0="00000287" w:usb1="00000000" w:usb2="00000000" w:usb3="00000000" w:csb0="2000009F" w:csb1="DFD70000"/>
  </w:font>
  <w:font w:name="EU-F1">
    <w:altName w:val="宋体"/>
    <w:panose1 w:val="00000000000000000000"/>
    <w:charset w:val="86"/>
    <w:family w:val="script"/>
    <w:pitch w:val="default"/>
    <w:sig w:usb0="00000000" w:usb1="00000000" w:usb2="00000010" w:usb3="00000000" w:csb0="00040000" w:csb1="00000000"/>
  </w:font>
  <w:font w:name="E-F1">
    <w:altName w:val="Dotum"/>
    <w:panose1 w:val="00000000000000000000"/>
    <w:charset w:val="81"/>
    <w:family w:val="roman"/>
    <w:pitch w:val="default"/>
    <w:sig w:usb0="00000000" w:usb1="00000000" w:usb2="00000033" w:usb3="00000000" w:csb0="00080000" w:csb1="00000000"/>
  </w:font>
  <w:font w:name="楷体_GB2312">
    <w:altName w:val="楷体"/>
    <w:panose1 w:val="00000000000000000000"/>
    <w:charset w:val="86"/>
    <w:family w:val="modern"/>
    <w:pitch w:val="default"/>
    <w:sig w:usb0="00000000" w:usb1="00000000" w:usb2="00000010" w:usb3="00000000" w:csb0="00040000" w:csb1="00000000"/>
  </w:font>
  <w:font w:name="Ari">
    <w:altName w:val="Arial"/>
    <w:panose1 w:val="00000000000000000000"/>
    <w:charset w:val="00"/>
    <w:family w:val="swiss"/>
    <w:pitch w:val="default"/>
    <w:sig w:usb0="00000000" w:usb1="00000000" w:usb2="00000000" w:usb3="00000000" w:csb0="00000001" w:csb1="00000000"/>
  </w:font>
  <w:font w:name="Microsoft YaHei UI">
    <w:altName w:val="宋体"/>
    <w:panose1 w:val="020B0503020204020204"/>
    <w:charset w:val="86"/>
    <w:family w:val="swiss"/>
    <w:pitch w:val="default"/>
    <w:sig w:usb0="00000000" w:usb1="0000000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Dotum">
    <w:panose1 w:val="020B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56</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rFonts w:hint="eastAsia" w:eastAsia="宋体"/>
        <w:lang w:val="en-US" w:eastAsia="zh-CN"/>
      </w:rPr>
    </w:pPr>
    <w:r>
      <w:rPr>
        <w:rFonts w:hint="eastAsia"/>
      </w:rPr>
      <w:t xml:space="preserve">  </w:t>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7091E9"/>
    <w:multiLevelType w:val="singleLevel"/>
    <w:tmpl w:val="897091E9"/>
    <w:lvl w:ilvl="0" w:tentative="0">
      <w:start w:val="1"/>
      <w:numFmt w:val="chineseCounting"/>
      <w:suff w:val="nothing"/>
      <w:lvlText w:val="%1、"/>
      <w:lvlJc w:val="left"/>
      <w:rPr>
        <w:rFonts w:hint="eastAsia"/>
      </w:rPr>
    </w:lvl>
  </w:abstractNum>
  <w:abstractNum w:abstractNumId="1">
    <w:nsid w:val="F7E252A5"/>
    <w:multiLevelType w:val="singleLevel"/>
    <w:tmpl w:val="F7E252A5"/>
    <w:lvl w:ilvl="0" w:tentative="0">
      <w:start w:val="3"/>
      <w:numFmt w:val="chineseCounting"/>
      <w:suff w:val="nothing"/>
      <w:lvlText w:val="（%1）"/>
      <w:lvlJc w:val="left"/>
      <w:rPr>
        <w:rFonts w:hint="eastAsia"/>
      </w:rPr>
    </w:lvl>
  </w:abstractNum>
  <w:abstractNum w:abstractNumId="2">
    <w:nsid w:val="0444465B"/>
    <w:multiLevelType w:val="multilevel"/>
    <w:tmpl w:val="0444465B"/>
    <w:lvl w:ilvl="0" w:tentative="0">
      <w:start w:val="2"/>
      <w:numFmt w:val="decimal"/>
      <w:lvlText w:val="%1."/>
      <w:lvlJc w:val="left"/>
      <w:pPr>
        <w:tabs>
          <w:tab w:val="left" w:pos="962"/>
        </w:tabs>
        <w:ind w:left="962" w:hanging="360"/>
      </w:pPr>
    </w:lvl>
    <w:lvl w:ilvl="1" w:tentative="0">
      <w:start w:val="1"/>
      <w:numFmt w:val="lowerLetter"/>
      <w:lvlText w:val="%2)"/>
      <w:lvlJc w:val="left"/>
      <w:pPr>
        <w:tabs>
          <w:tab w:val="left" w:pos="1442"/>
        </w:tabs>
        <w:ind w:left="1442" w:hanging="420"/>
      </w:pPr>
    </w:lvl>
    <w:lvl w:ilvl="2" w:tentative="0">
      <w:start w:val="1"/>
      <w:numFmt w:val="lowerRoman"/>
      <w:lvlText w:val="%3."/>
      <w:lvlJc w:val="right"/>
      <w:pPr>
        <w:tabs>
          <w:tab w:val="left" w:pos="1862"/>
        </w:tabs>
        <w:ind w:left="1862" w:hanging="420"/>
      </w:pPr>
    </w:lvl>
    <w:lvl w:ilvl="3" w:tentative="0">
      <w:start w:val="1"/>
      <w:numFmt w:val="decimal"/>
      <w:pStyle w:val="156"/>
      <w:lvlText w:val="%4."/>
      <w:lvlJc w:val="left"/>
      <w:pPr>
        <w:tabs>
          <w:tab w:val="left" w:pos="2282"/>
        </w:tabs>
        <w:ind w:left="2282" w:hanging="420"/>
      </w:pPr>
    </w:lvl>
    <w:lvl w:ilvl="4" w:tentative="0">
      <w:start w:val="1"/>
      <w:numFmt w:val="lowerLetter"/>
      <w:lvlText w:val="%5)"/>
      <w:lvlJc w:val="left"/>
      <w:pPr>
        <w:tabs>
          <w:tab w:val="left" w:pos="2702"/>
        </w:tabs>
        <w:ind w:left="2702" w:hanging="420"/>
      </w:pPr>
    </w:lvl>
    <w:lvl w:ilvl="5" w:tentative="0">
      <w:start w:val="1"/>
      <w:numFmt w:val="lowerRoman"/>
      <w:lvlText w:val="%6."/>
      <w:lvlJc w:val="right"/>
      <w:pPr>
        <w:tabs>
          <w:tab w:val="left" w:pos="3122"/>
        </w:tabs>
        <w:ind w:left="3122" w:hanging="420"/>
      </w:pPr>
    </w:lvl>
    <w:lvl w:ilvl="6" w:tentative="0">
      <w:start w:val="1"/>
      <w:numFmt w:val="decimal"/>
      <w:lvlText w:val="%7."/>
      <w:lvlJc w:val="left"/>
      <w:pPr>
        <w:tabs>
          <w:tab w:val="left" w:pos="3542"/>
        </w:tabs>
        <w:ind w:left="3542" w:hanging="420"/>
      </w:pPr>
    </w:lvl>
    <w:lvl w:ilvl="7" w:tentative="0">
      <w:start w:val="1"/>
      <w:numFmt w:val="lowerLetter"/>
      <w:lvlText w:val="%8)"/>
      <w:lvlJc w:val="left"/>
      <w:pPr>
        <w:tabs>
          <w:tab w:val="left" w:pos="3962"/>
        </w:tabs>
        <w:ind w:left="3962" w:hanging="420"/>
      </w:pPr>
    </w:lvl>
    <w:lvl w:ilvl="8" w:tentative="0">
      <w:start w:val="1"/>
      <w:numFmt w:val="lowerRoman"/>
      <w:lvlText w:val="%9."/>
      <w:lvlJc w:val="right"/>
      <w:pPr>
        <w:tabs>
          <w:tab w:val="left" w:pos="4382"/>
        </w:tabs>
        <w:ind w:left="4382" w:hanging="420"/>
      </w:pPr>
    </w:lvl>
  </w:abstractNum>
  <w:abstractNum w:abstractNumId="3">
    <w:nsid w:val="0EEE7718"/>
    <w:multiLevelType w:val="multilevel"/>
    <w:tmpl w:val="0EEE7718"/>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decimal"/>
      <w:lvlText w:val="%2、"/>
      <w:lvlJc w:val="left"/>
      <w:pPr>
        <w:tabs>
          <w:tab w:val="left" w:pos="900"/>
        </w:tabs>
        <w:ind w:left="900" w:hanging="360"/>
      </w:pPr>
    </w:lvl>
    <w:lvl w:ilvl="2" w:tentative="0">
      <w:start w:val="1"/>
      <w:numFmt w:val="lowerRoman"/>
      <w:lvlText w:val="%3."/>
      <w:lvlJc w:val="right"/>
      <w:pPr>
        <w:tabs>
          <w:tab w:val="left" w:pos="1920"/>
        </w:tabs>
        <w:ind w:left="1920" w:hanging="420"/>
      </w:pPr>
    </w:lvl>
    <w:lvl w:ilvl="3" w:tentative="0">
      <w:start w:val="1"/>
      <w:numFmt w:val="decimal"/>
      <w:lvlText w:val="%4."/>
      <w:lvlJc w:val="left"/>
      <w:pPr>
        <w:tabs>
          <w:tab w:val="left" w:pos="2340"/>
        </w:tabs>
        <w:ind w:left="2340" w:hanging="420"/>
      </w:pPr>
    </w:lvl>
    <w:lvl w:ilvl="4" w:tentative="0">
      <w:start w:val="1"/>
      <w:numFmt w:val="lowerLetter"/>
      <w:lvlText w:val="%5)"/>
      <w:lvlJc w:val="left"/>
      <w:pPr>
        <w:tabs>
          <w:tab w:val="left" w:pos="2760"/>
        </w:tabs>
        <w:ind w:left="2760" w:hanging="420"/>
      </w:pPr>
    </w:lvl>
    <w:lvl w:ilvl="5" w:tentative="0">
      <w:start w:val="1"/>
      <w:numFmt w:val="lowerRoman"/>
      <w:lvlText w:val="%6."/>
      <w:lvlJc w:val="right"/>
      <w:pPr>
        <w:tabs>
          <w:tab w:val="left" w:pos="3180"/>
        </w:tabs>
        <w:ind w:left="3180" w:hanging="420"/>
      </w:pPr>
    </w:lvl>
    <w:lvl w:ilvl="6" w:tentative="0">
      <w:start w:val="1"/>
      <w:numFmt w:val="decimal"/>
      <w:lvlText w:val="%7."/>
      <w:lvlJc w:val="left"/>
      <w:pPr>
        <w:tabs>
          <w:tab w:val="left" w:pos="3600"/>
        </w:tabs>
        <w:ind w:left="3600" w:hanging="420"/>
      </w:pPr>
    </w:lvl>
    <w:lvl w:ilvl="7" w:tentative="0">
      <w:start w:val="1"/>
      <w:numFmt w:val="lowerLetter"/>
      <w:lvlText w:val="%8)"/>
      <w:lvlJc w:val="left"/>
      <w:pPr>
        <w:tabs>
          <w:tab w:val="left" w:pos="4020"/>
        </w:tabs>
        <w:ind w:left="4020" w:hanging="420"/>
      </w:pPr>
    </w:lvl>
    <w:lvl w:ilvl="8" w:tentative="0">
      <w:start w:val="1"/>
      <w:numFmt w:val="lowerRoman"/>
      <w:lvlText w:val="%9."/>
      <w:lvlJc w:val="right"/>
      <w:pPr>
        <w:tabs>
          <w:tab w:val="left" w:pos="4440"/>
        </w:tabs>
        <w:ind w:left="4440" w:hanging="420"/>
      </w:pPr>
    </w:lvl>
  </w:abstractNum>
  <w:abstractNum w:abstractNumId="4">
    <w:nsid w:val="31B23EDF"/>
    <w:multiLevelType w:val="multilevel"/>
    <w:tmpl w:val="31B23EDF"/>
    <w:lvl w:ilvl="0" w:tentative="0">
      <w:start w:val="1"/>
      <w:numFmt w:val="upperLetter"/>
      <w:lvlText w:val="%1"/>
      <w:lvlJc w:val="left"/>
      <w:pPr>
        <w:tabs>
          <w:tab w:val="left" w:pos="960"/>
        </w:tabs>
        <w:ind w:left="960" w:hanging="223"/>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7A31B2C"/>
    <w:multiLevelType w:val="multilevel"/>
    <w:tmpl w:val="37A31B2C"/>
    <w:lvl w:ilvl="0" w:tentative="0">
      <w:start w:val="1"/>
      <w:numFmt w:val="japaneseCounting"/>
      <w:lvlText w:val="%1、"/>
      <w:lvlJc w:val="left"/>
      <w:pPr>
        <w:ind w:left="876" w:hanging="456"/>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541263EF"/>
    <w:multiLevelType w:val="singleLevel"/>
    <w:tmpl w:val="541263EF"/>
    <w:lvl w:ilvl="0" w:tentative="0">
      <w:start w:val="1"/>
      <w:numFmt w:val="chineseCounting"/>
      <w:suff w:val="nothing"/>
      <w:lvlText w:val="%1、"/>
      <w:lvlJc w:val="left"/>
      <w:pPr>
        <w:ind w:left="0" w:firstLine="0"/>
      </w:pPr>
    </w:lvl>
  </w:abstractNum>
  <w:abstractNum w:abstractNumId="7">
    <w:nsid w:val="59DC1E7F"/>
    <w:multiLevelType w:val="singleLevel"/>
    <w:tmpl w:val="59DC1E7F"/>
    <w:lvl w:ilvl="0" w:tentative="0">
      <w:start w:val="1"/>
      <w:numFmt w:val="decimal"/>
      <w:suff w:val="nothing"/>
      <w:lvlText w:val="%1、"/>
      <w:lvlJc w:val="left"/>
      <w:pPr>
        <w:ind w:left="0" w:firstLine="0"/>
      </w:pPr>
      <w:rPr>
        <w:rFonts w:cs="Times New Roman"/>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7"/>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JjMjI0MzExYzA4NTk2ZGI1MzM4ZWRkNGQzYTY5NGUifQ=="/>
  </w:docVars>
  <w:rsids>
    <w:rsidRoot w:val="00FA0A76"/>
    <w:rsid w:val="00070D53"/>
    <w:rsid w:val="000E17A9"/>
    <w:rsid w:val="00105D8D"/>
    <w:rsid w:val="001504D6"/>
    <w:rsid w:val="001C665E"/>
    <w:rsid w:val="001D430A"/>
    <w:rsid w:val="00211803"/>
    <w:rsid w:val="00231631"/>
    <w:rsid w:val="00242375"/>
    <w:rsid w:val="00274578"/>
    <w:rsid w:val="00280CEA"/>
    <w:rsid w:val="00292546"/>
    <w:rsid w:val="002B3664"/>
    <w:rsid w:val="002B6D5C"/>
    <w:rsid w:val="002F270E"/>
    <w:rsid w:val="0030061C"/>
    <w:rsid w:val="00301036"/>
    <w:rsid w:val="003A1687"/>
    <w:rsid w:val="003B2C6A"/>
    <w:rsid w:val="003C72DA"/>
    <w:rsid w:val="003F3C19"/>
    <w:rsid w:val="00427705"/>
    <w:rsid w:val="004348A1"/>
    <w:rsid w:val="004402C0"/>
    <w:rsid w:val="00463E5E"/>
    <w:rsid w:val="00464640"/>
    <w:rsid w:val="00467383"/>
    <w:rsid w:val="00487445"/>
    <w:rsid w:val="00497D11"/>
    <w:rsid w:val="004A2158"/>
    <w:rsid w:val="004B5170"/>
    <w:rsid w:val="00575F5E"/>
    <w:rsid w:val="006050BA"/>
    <w:rsid w:val="006C6C84"/>
    <w:rsid w:val="006D25A9"/>
    <w:rsid w:val="007125E5"/>
    <w:rsid w:val="007245EF"/>
    <w:rsid w:val="007E1FC2"/>
    <w:rsid w:val="008B581B"/>
    <w:rsid w:val="00973C99"/>
    <w:rsid w:val="009B3F9F"/>
    <w:rsid w:val="009C7BDB"/>
    <w:rsid w:val="009F2EDD"/>
    <w:rsid w:val="009F5C3E"/>
    <w:rsid w:val="00A86E8A"/>
    <w:rsid w:val="00B1119D"/>
    <w:rsid w:val="00B83514"/>
    <w:rsid w:val="00BC68BB"/>
    <w:rsid w:val="00C14D02"/>
    <w:rsid w:val="00C150A2"/>
    <w:rsid w:val="00C927BB"/>
    <w:rsid w:val="00CA694D"/>
    <w:rsid w:val="00CB29CC"/>
    <w:rsid w:val="00CC22CA"/>
    <w:rsid w:val="00CF1259"/>
    <w:rsid w:val="00D02040"/>
    <w:rsid w:val="00D03544"/>
    <w:rsid w:val="00D873FC"/>
    <w:rsid w:val="00D876E4"/>
    <w:rsid w:val="00DC4AEF"/>
    <w:rsid w:val="00DF288F"/>
    <w:rsid w:val="00E02502"/>
    <w:rsid w:val="00E276A6"/>
    <w:rsid w:val="00E373C6"/>
    <w:rsid w:val="00E832F6"/>
    <w:rsid w:val="00EA5BFE"/>
    <w:rsid w:val="00F50457"/>
    <w:rsid w:val="00F93F5D"/>
    <w:rsid w:val="00FA0A76"/>
    <w:rsid w:val="02BC10D1"/>
    <w:rsid w:val="03E6108F"/>
    <w:rsid w:val="04B67CE3"/>
    <w:rsid w:val="04DD6331"/>
    <w:rsid w:val="06D52FEA"/>
    <w:rsid w:val="07BF3436"/>
    <w:rsid w:val="083108E6"/>
    <w:rsid w:val="095F763D"/>
    <w:rsid w:val="09D52DDC"/>
    <w:rsid w:val="0A0124A3"/>
    <w:rsid w:val="0B08678D"/>
    <w:rsid w:val="0B471607"/>
    <w:rsid w:val="0C6C4254"/>
    <w:rsid w:val="0CB512FC"/>
    <w:rsid w:val="0CD10852"/>
    <w:rsid w:val="0D331095"/>
    <w:rsid w:val="0E3423B7"/>
    <w:rsid w:val="0F605293"/>
    <w:rsid w:val="0F7B2869"/>
    <w:rsid w:val="1077526D"/>
    <w:rsid w:val="111536CD"/>
    <w:rsid w:val="115D1CFE"/>
    <w:rsid w:val="11936C66"/>
    <w:rsid w:val="12AF0907"/>
    <w:rsid w:val="13574451"/>
    <w:rsid w:val="13726549"/>
    <w:rsid w:val="13815B74"/>
    <w:rsid w:val="140C5F4F"/>
    <w:rsid w:val="141C5377"/>
    <w:rsid w:val="14964AC6"/>
    <w:rsid w:val="14D7755D"/>
    <w:rsid w:val="15A90642"/>
    <w:rsid w:val="15F551FE"/>
    <w:rsid w:val="16666EA3"/>
    <w:rsid w:val="167345BF"/>
    <w:rsid w:val="18CC2A0F"/>
    <w:rsid w:val="19547328"/>
    <w:rsid w:val="1A2A52A6"/>
    <w:rsid w:val="1AD87250"/>
    <w:rsid w:val="1E6D7CAF"/>
    <w:rsid w:val="1FD42A09"/>
    <w:rsid w:val="207033FB"/>
    <w:rsid w:val="20DB7157"/>
    <w:rsid w:val="21F01678"/>
    <w:rsid w:val="230C7A96"/>
    <w:rsid w:val="231449BC"/>
    <w:rsid w:val="231D0661"/>
    <w:rsid w:val="2352063F"/>
    <w:rsid w:val="240438F0"/>
    <w:rsid w:val="241046F0"/>
    <w:rsid w:val="26577990"/>
    <w:rsid w:val="27C34348"/>
    <w:rsid w:val="28D15708"/>
    <w:rsid w:val="296A0B11"/>
    <w:rsid w:val="2A1C2558"/>
    <w:rsid w:val="2A1F6221"/>
    <w:rsid w:val="2CA41C38"/>
    <w:rsid w:val="2DB564B7"/>
    <w:rsid w:val="2E73636F"/>
    <w:rsid w:val="2ECC20BA"/>
    <w:rsid w:val="2F664474"/>
    <w:rsid w:val="2F8C3303"/>
    <w:rsid w:val="302567CF"/>
    <w:rsid w:val="32565BFD"/>
    <w:rsid w:val="32851613"/>
    <w:rsid w:val="332A2D93"/>
    <w:rsid w:val="348A4CBF"/>
    <w:rsid w:val="35D025B1"/>
    <w:rsid w:val="35E71B4F"/>
    <w:rsid w:val="361B5915"/>
    <w:rsid w:val="37F36367"/>
    <w:rsid w:val="38647007"/>
    <w:rsid w:val="392D2B4F"/>
    <w:rsid w:val="3A7317FC"/>
    <w:rsid w:val="3AED0C13"/>
    <w:rsid w:val="3D461908"/>
    <w:rsid w:val="3E2D5863"/>
    <w:rsid w:val="3FAD5D0B"/>
    <w:rsid w:val="40291830"/>
    <w:rsid w:val="403004E4"/>
    <w:rsid w:val="41E73751"/>
    <w:rsid w:val="43593371"/>
    <w:rsid w:val="43A14F2E"/>
    <w:rsid w:val="44D3620E"/>
    <w:rsid w:val="45013B1C"/>
    <w:rsid w:val="454D5FC1"/>
    <w:rsid w:val="45680710"/>
    <w:rsid w:val="482A5D6A"/>
    <w:rsid w:val="48F52F0F"/>
    <w:rsid w:val="4B582862"/>
    <w:rsid w:val="4CAA1F4A"/>
    <w:rsid w:val="4CBD03B0"/>
    <w:rsid w:val="4E0406F1"/>
    <w:rsid w:val="4F38493E"/>
    <w:rsid w:val="51617008"/>
    <w:rsid w:val="51E23C3C"/>
    <w:rsid w:val="53CB3F68"/>
    <w:rsid w:val="53F674C8"/>
    <w:rsid w:val="55314B0F"/>
    <w:rsid w:val="55560EC1"/>
    <w:rsid w:val="56220B9B"/>
    <w:rsid w:val="56526C83"/>
    <w:rsid w:val="566E3765"/>
    <w:rsid w:val="577704B2"/>
    <w:rsid w:val="58B551D0"/>
    <w:rsid w:val="59330EC7"/>
    <w:rsid w:val="59337BDA"/>
    <w:rsid w:val="597131E5"/>
    <w:rsid w:val="59C3202D"/>
    <w:rsid w:val="5A9C38B9"/>
    <w:rsid w:val="5B1C7B22"/>
    <w:rsid w:val="5B313339"/>
    <w:rsid w:val="5BDF51FA"/>
    <w:rsid w:val="5CA70254"/>
    <w:rsid w:val="5CFD7D2C"/>
    <w:rsid w:val="5DF50BAF"/>
    <w:rsid w:val="5FEF619A"/>
    <w:rsid w:val="626F5370"/>
    <w:rsid w:val="659772A6"/>
    <w:rsid w:val="65B706CC"/>
    <w:rsid w:val="65D33676"/>
    <w:rsid w:val="65F95B58"/>
    <w:rsid w:val="662F0689"/>
    <w:rsid w:val="671771FC"/>
    <w:rsid w:val="68137F8B"/>
    <w:rsid w:val="69C6223F"/>
    <w:rsid w:val="6C2471CC"/>
    <w:rsid w:val="6C6C0694"/>
    <w:rsid w:val="6CF342D7"/>
    <w:rsid w:val="6EC06902"/>
    <w:rsid w:val="71DB032D"/>
    <w:rsid w:val="729E57D3"/>
    <w:rsid w:val="73DF3CAE"/>
    <w:rsid w:val="75CA1ADA"/>
    <w:rsid w:val="7843791D"/>
    <w:rsid w:val="794F39AE"/>
    <w:rsid w:val="797175E8"/>
    <w:rsid w:val="7B2141C9"/>
    <w:rsid w:val="7B892E2D"/>
    <w:rsid w:val="7BA57B58"/>
    <w:rsid w:val="7CF47E74"/>
    <w:rsid w:val="7E185642"/>
    <w:rsid w:val="7F2F6AB2"/>
    <w:rsid w:val="7FC44C04"/>
    <w:rsid w:val="7FE91C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qFormat="1" w:uiPriority="0" w:name="index 4"/>
    <w:lsdException w:uiPriority="99" w:name="index 5"/>
    <w:lsdException w:uiPriority="99" w:name="index 6"/>
    <w:lsdException w:uiPriority="99" w:name="index 7"/>
    <w:lsdException w:uiPriority="99" w:name="index 8"/>
    <w:lsdException w:uiPriority="99" w:name="index 9"/>
    <w:lsdException w:qFormat="1" w:uiPriority="0" w:name="toc 1"/>
    <w:lsdException w:qFormat="1" w:uiPriority="0" w:name="toc 2"/>
    <w:lsdException w:qFormat="1" w:uiPriority="0" w:name="toc 3"/>
    <w:lsdException w:qFormat="1" w:uiPriority="0" w:name="toc 4"/>
    <w:lsdException w:qFormat="1" w:uiPriority="0" w:name="toc 5"/>
    <w:lsdException w:qFormat="1" w:uiPriority="0" w:name="toc 6"/>
    <w:lsdException w:qFormat="1" w:uiPriority="0" w:name="toc 7"/>
    <w:lsdException w:qFormat="1" w:uiPriority="0" w:name="toc 8"/>
    <w:lsdException w:qFormat="1" w:uiPriority="0" w:name="toc 9"/>
    <w:lsdException w:qFormat="1" w:uiPriority="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qFormat="1" w:uiPriority="0" w:name="List"/>
    <w:lsdException w:uiPriority="99" w:name="List Bullet"/>
    <w:lsdException w:uiPriority="99" w:name="List Number"/>
    <w:lsdException w:qFormat="1" w:uiPriority="0" w:name="List 2"/>
    <w:lsdException w:qFormat="1" w:uiPriority="0" w:name="List 3"/>
    <w:lsdException w:qFormat="1" w:uiPriority="0" w:name="List 4"/>
    <w:lsdException w:qFormat="1" w:uiPriority="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qFormat="1" w:uiPriority="0" w:name="List Continue"/>
    <w:lsdException w:qFormat="1" w:uiPriority="0" w:name="List Continue 2"/>
    <w:lsdException w:qFormat="1" w:uiPriority="0" w:name="List Continue 3"/>
    <w:lsdException w:qFormat="1" w:uiPriority="0" w:name="List Continue 4"/>
    <w:lsdException w:qFormat="1" w:uiPriority="0" w:name="List Continue 5"/>
    <w:lsdException w:uiPriority="99" w:name="Message Header"/>
    <w:lsdException w:qFormat="1" w:unhideWhenUsed="0" w:uiPriority="0" w:semiHidden="0" w:name="Subtitle"/>
    <w:lsdException w:uiPriority="99" w:name="Salutation"/>
    <w:lsdException w:qFormat="1" w:uiPriority="0" w:name="Date"/>
    <w:lsdException w:qFormat="1" w:uiPriority="0" w:name="Body Text First Indent"/>
    <w:lsdException w:qFormat="1" w:uiPriority="0" w:name="Body Text First Indent 2"/>
    <w:lsdException w:uiPriority="99"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iPriority="0" w:name="Hyperlink"/>
    <w:lsdException w:qFormat="1" w:uiPriority="0" w:name="FollowedHyperlink"/>
    <w:lsdException w:qFormat="1" w:unhideWhenUsed="0" w:uiPriority="22" w:semiHidden="0" w:name="Strong"/>
    <w:lsdException w:qFormat="1" w:unhideWhenUsed="0" w:uiPriority="20" w:semiHidden="0" w:name="Emphasis"/>
    <w:lsdException w:qFormat="1" w:uiPriority="0" w:name="Document Map"/>
    <w:lsdException w:qFormat="1" w:uiPriority="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0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6"/>
    <w:autoRedefine/>
    <w:qFormat/>
    <w:uiPriority w:val="0"/>
    <w:pPr>
      <w:keepNext/>
      <w:widowControl/>
      <w:tabs>
        <w:tab w:val="left" w:pos="432"/>
      </w:tabs>
      <w:ind w:left="432" w:hanging="432"/>
      <w:jc w:val="center"/>
      <w:outlineLvl w:val="0"/>
    </w:pPr>
    <w:rPr>
      <w:rFonts w:ascii="黑体" w:hAnsi="宋体" w:eastAsia="黑体" w:cs="宋体"/>
      <w:kern w:val="0"/>
      <w:sz w:val="52"/>
      <w:szCs w:val="20"/>
    </w:rPr>
  </w:style>
  <w:style w:type="paragraph" w:styleId="5">
    <w:name w:val="heading 2"/>
    <w:basedOn w:val="6"/>
    <w:next w:val="1"/>
    <w:link w:val="67"/>
    <w:semiHidden/>
    <w:unhideWhenUsed/>
    <w:qFormat/>
    <w:uiPriority w:val="0"/>
    <w:pPr>
      <w:keepNext/>
      <w:keepLines/>
      <w:tabs>
        <w:tab w:val="left" w:pos="0"/>
        <w:tab w:val="left" w:pos="992"/>
      </w:tabs>
      <w:spacing w:before="260" w:after="260" w:line="412" w:lineRule="auto"/>
      <w:outlineLvl w:val="1"/>
    </w:pPr>
    <w:rPr>
      <w:rFonts w:ascii="Arial" w:hAnsi="Arial" w:eastAsia="黑体"/>
      <w:b/>
      <w:bCs/>
      <w:sz w:val="32"/>
      <w:szCs w:val="32"/>
    </w:rPr>
  </w:style>
  <w:style w:type="paragraph" w:styleId="10">
    <w:name w:val="heading 3"/>
    <w:basedOn w:val="1"/>
    <w:next w:val="1"/>
    <w:link w:val="68"/>
    <w:semiHidden/>
    <w:unhideWhenUsed/>
    <w:qFormat/>
    <w:uiPriority w:val="0"/>
    <w:pPr>
      <w:keepNext/>
      <w:keepLines/>
      <w:spacing w:before="260" w:after="260" w:line="412" w:lineRule="auto"/>
      <w:outlineLvl w:val="2"/>
    </w:pPr>
    <w:rPr>
      <w:b/>
      <w:bCs/>
      <w:sz w:val="32"/>
      <w:szCs w:val="32"/>
    </w:rPr>
  </w:style>
  <w:style w:type="paragraph" w:styleId="11">
    <w:name w:val="heading 4"/>
    <w:basedOn w:val="1"/>
    <w:next w:val="1"/>
    <w:link w:val="69"/>
    <w:semiHidden/>
    <w:unhideWhenUsed/>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12">
    <w:name w:val="heading 5"/>
    <w:basedOn w:val="1"/>
    <w:next w:val="1"/>
    <w:link w:val="70"/>
    <w:autoRedefine/>
    <w:semiHidden/>
    <w:unhideWhenUsed/>
    <w:qFormat/>
    <w:uiPriority w:val="0"/>
    <w:pPr>
      <w:keepNext/>
      <w:keepLines/>
      <w:widowControl/>
      <w:spacing w:before="120" w:after="120" w:line="360" w:lineRule="auto"/>
      <w:ind w:firstLine="499"/>
      <w:jc w:val="left"/>
      <w:outlineLvl w:val="4"/>
    </w:pPr>
    <w:rPr>
      <w:rFonts w:ascii="宋体" w:hAnsi="宋体" w:cs="宋体"/>
      <w:b/>
      <w:kern w:val="0"/>
      <w:sz w:val="24"/>
      <w:szCs w:val="20"/>
    </w:rPr>
  </w:style>
  <w:style w:type="paragraph" w:styleId="13">
    <w:name w:val="heading 6"/>
    <w:basedOn w:val="1"/>
    <w:next w:val="1"/>
    <w:link w:val="71"/>
    <w:autoRedefine/>
    <w:semiHidden/>
    <w:unhideWhenUsed/>
    <w:qFormat/>
    <w:uiPriority w:val="0"/>
    <w:pPr>
      <w:keepNext/>
      <w:keepLines/>
      <w:widowControl/>
      <w:tabs>
        <w:tab w:val="left" w:pos="1440"/>
      </w:tabs>
      <w:spacing w:before="240" w:after="64" w:line="316" w:lineRule="auto"/>
      <w:ind w:left="1152" w:hanging="1152"/>
      <w:jc w:val="left"/>
      <w:outlineLvl w:val="5"/>
    </w:pPr>
    <w:rPr>
      <w:rFonts w:ascii="Arial" w:hAnsi="Arial" w:eastAsia="黑体"/>
      <w:b/>
      <w:bCs/>
      <w:kern w:val="0"/>
      <w:sz w:val="24"/>
    </w:rPr>
  </w:style>
  <w:style w:type="paragraph" w:styleId="14">
    <w:name w:val="heading 7"/>
    <w:basedOn w:val="1"/>
    <w:next w:val="1"/>
    <w:link w:val="72"/>
    <w:autoRedefine/>
    <w:semiHidden/>
    <w:unhideWhenUsed/>
    <w:qFormat/>
    <w:uiPriority w:val="0"/>
    <w:pPr>
      <w:keepNext/>
      <w:keepLines/>
      <w:widowControl/>
      <w:tabs>
        <w:tab w:val="left" w:pos="2520"/>
      </w:tabs>
      <w:spacing w:before="240" w:after="64" w:line="316" w:lineRule="auto"/>
      <w:ind w:left="1296" w:hanging="1296"/>
      <w:jc w:val="left"/>
      <w:outlineLvl w:val="6"/>
    </w:pPr>
    <w:rPr>
      <w:b/>
      <w:bCs/>
      <w:kern w:val="0"/>
      <w:sz w:val="24"/>
    </w:rPr>
  </w:style>
  <w:style w:type="paragraph" w:styleId="15">
    <w:name w:val="heading 8"/>
    <w:basedOn w:val="1"/>
    <w:next w:val="1"/>
    <w:link w:val="73"/>
    <w:semiHidden/>
    <w:unhideWhenUsed/>
    <w:qFormat/>
    <w:uiPriority w:val="0"/>
    <w:pPr>
      <w:keepNext/>
      <w:keepLines/>
      <w:widowControl/>
      <w:tabs>
        <w:tab w:val="left" w:pos="1440"/>
      </w:tabs>
      <w:spacing w:before="240" w:after="64" w:line="316" w:lineRule="auto"/>
      <w:ind w:left="1440" w:hanging="1440"/>
      <w:jc w:val="left"/>
      <w:outlineLvl w:val="7"/>
    </w:pPr>
    <w:rPr>
      <w:rFonts w:ascii="Arial" w:hAnsi="Arial" w:eastAsia="黑体"/>
      <w:kern w:val="0"/>
      <w:sz w:val="24"/>
    </w:rPr>
  </w:style>
  <w:style w:type="paragraph" w:styleId="16">
    <w:name w:val="heading 9"/>
    <w:basedOn w:val="1"/>
    <w:next w:val="1"/>
    <w:link w:val="74"/>
    <w:semiHidden/>
    <w:unhideWhenUsed/>
    <w:qFormat/>
    <w:uiPriority w:val="0"/>
    <w:pPr>
      <w:keepNext/>
      <w:keepLines/>
      <w:widowControl/>
      <w:tabs>
        <w:tab w:val="left" w:pos="1584"/>
      </w:tabs>
      <w:spacing w:before="240" w:after="64" w:line="316" w:lineRule="auto"/>
      <w:ind w:left="1584" w:hanging="1584"/>
      <w:jc w:val="left"/>
      <w:outlineLvl w:val="8"/>
    </w:pPr>
    <w:rPr>
      <w:rFonts w:ascii="Arial" w:hAnsi="Arial" w:eastAsia="黑体"/>
      <w:kern w:val="0"/>
      <w:szCs w:val="21"/>
    </w:rPr>
  </w:style>
  <w:style w:type="character" w:default="1" w:styleId="61">
    <w:name w:val="Default Paragraph Font"/>
    <w:semiHidden/>
    <w:unhideWhenUsed/>
    <w:qFormat/>
    <w:uiPriority w:val="1"/>
  </w:style>
  <w:style w:type="table" w:default="1" w:styleId="59">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85"/>
    <w:semiHidden/>
    <w:unhideWhenUsed/>
    <w:qFormat/>
    <w:uiPriority w:val="0"/>
    <w:pPr>
      <w:ind w:firstLine="420" w:firstLineChars="100"/>
    </w:pPr>
  </w:style>
  <w:style w:type="paragraph" w:styleId="3">
    <w:name w:val="Body Text"/>
    <w:basedOn w:val="1"/>
    <w:next w:val="2"/>
    <w:link w:val="185"/>
    <w:autoRedefine/>
    <w:semiHidden/>
    <w:unhideWhenUsed/>
    <w:qFormat/>
    <w:uiPriority w:val="0"/>
    <w:pPr>
      <w:spacing w:after="120"/>
    </w:pPr>
  </w:style>
  <w:style w:type="paragraph" w:customStyle="1" w:styleId="6">
    <w:name w:val="二级条标题"/>
    <w:basedOn w:val="7"/>
    <w:next w:val="9"/>
    <w:autoRedefine/>
    <w:qFormat/>
    <w:uiPriority w:val="0"/>
    <w:pPr>
      <w:tabs>
        <w:tab w:val="left" w:pos="0"/>
        <w:tab w:val="left" w:pos="992"/>
      </w:tabs>
      <w:outlineLvl w:val="3"/>
    </w:pPr>
  </w:style>
  <w:style w:type="paragraph" w:customStyle="1" w:styleId="7">
    <w:name w:val="一级条标题"/>
    <w:basedOn w:val="8"/>
    <w:next w:val="9"/>
    <w:qFormat/>
    <w:uiPriority w:val="0"/>
    <w:pPr>
      <w:tabs>
        <w:tab w:val="left" w:pos="0"/>
        <w:tab w:val="left" w:pos="992"/>
      </w:tabs>
      <w:spacing w:beforeLines="0" w:afterLines="0"/>
      <w:ind w:left="0" w:firstLine="0"/>
      <w:outlineLvl w:val="2"/>
    </w:pPr>
  </w:style>
  <w:style w:type="paragraph" w:customStyle="1" w:styleId="8">
    <w:name w:val="章标题"/>
    <w:next w:val="1"/>
    <w:autoRedefine/>
    <w:qFormat/>
    <w:uiPriority w:val="0"/>
    <w:pPr>
      <w:tabs>
        <w:tab w:val="left" w:pos="992"/>
      </w:tabs>
      <w:spacing w:beforeLines="50" w:afterLines="50"/>
      <w:ind w:left="992" w:hanging="567"/>
      <w:jc w:val="both"/>
      <w:outlineLvl w:val="1"/>
    </w:pPr>
    <w:rPr>
      <w:rFonts w:ascii="黑体" w:hAnsi="Times New Roman" w:eastAsia="黑体" w:cs="Times New Roman"/>
      <w:sz w:val="21"/>
      <w:lang w:val="en-US" w:eastAsia="zh-CN" w:bidi="ar-SA"/>
    </w:rPr>
  </w:style>
  <w:style w:type="paragraph" w:customStyle="1" w:styleId="9">
    <w:name w:val="段"/>
    <w:next w:val="1"/>
    <w:link w:val="136"/>
    <w:autoRedefine/>
    <w:qFormat/>
    <w:uiPriority w:val="0"/>
    <w:pPr>
      <w:autoSpaceDE w:val="0"/>
      <w:autoSpaceDN w:val="0"/>
      <w:ind w:firstLine="200" w:firstLineChars="200"/>
      <w:jc w:val="both"/>
    </w:pPr>
    <w:rPr>
      <w:rFonts w:ascii="宋体" w:hAnsi="宋体" w:eastAsia="宋体" w:cstheme="minorBidi"/>
      <w:kern w:val="2"/>
      <w:sz w:val="21"/>
      <w:szCs w:val="22"/>
      <w:lang w:val="en-US" w:eastAsia="zh-CN" w:bidi="ar-SA"/>
    </w:rPr>
  </w:style>
  <w:style w:type="paragraph" w:styleId="17">
    <w:name w:val="List 3"/>
    <w:basedOn w:val="1"/>
    <w:autoRedefine/>
    <w:semiHidden/>
    <w:unhideWhenUsed/>
    <w:qFormat/>
    <w:uiPriority w:val="0"/>
    <w:pPr>
      <w:adjustRightInd w:val="0"/>
      <w:spacing w:line="300" w:lineRule="auto"/>
      <w:ind w:left="1260" w:hanging="420"/>
    </w:pPr>
    <w:rPr>
      <w:rFonts w:ascii="仿宋_GB2312" w:eastAsia="仿宋_GB2312"/>
      <w:color w:val="000000"/>
      <w:kern w:val="0"/>
      <w:sz w:val="28"/>
      <w:szCs w:val="20"/>
      <w:u w:color="000000"/>
    </w:rPr>
  </w:style>
  <w:style w:type="paragraph" w:styleId="18">
    <w:name w:val="toc 7"/>
    <w:basedOn w:val="1"/>
    <w:next w:val="1"/>
    <w:semiHidden/>
    <w:unhideWhenUsed/>
    <w:qFormat/>
    <w:uiPriority w:val="0"/>
    <w:pPr>
      <w:ind w:left="2520" w:leftChars="1200"/>
    </w:pPr>
    <w:rPr>
      <w:rFonts w:ascii="Calibri" w:hAnsi="Calibri"/>
      <w:szCs w:val="22"/>
    </w:rPr>
  </w:style>
  <w:style w:type="paragraph" w:styleId="19">
    <w:name w:val="table of authorities"/>
    <w:basedOn w:val="1"/>
    <w:next w:val="1"/>
    <w:autoRedefine/>
    <w:unhideWhenUsed/>
    <w:qFormat/>
    <w:uiPriority w:val="99"/>
    <w:pPr>
      <w:ind w:left="420" w:leftChars="200"/>
    </w:pPr>
  </w:style>
  <w:style w:type="paragraph" w:styleId="20">
    <w:name w:val="Normal Indent"/>
    <w:basedOn w:val="1"/>
    <w:link w:val="76"/>
    <w:autoRedefine/>
    <w:semiHidden/>
    <w:unhideWhenUsed/>
    <w:qFormat/>
    <w:uiPriority w:val="0"/>
    <w:pPr>
      <w:widowControl/>
      <w:ind w:firstLine="420"/>
      <w:jc w:val="left"/>
    </w:pPr>
    <w:rPr>
      <w:rFonts w:asciiTheme="minorHAnsi" w:hAnsiTheme="minorHAnsi" w:eastAsiaTheme="minorEastAsia" w:cstheme="minorBidi"/>
      <w:szCs w:val="22"/>
    </w:rPr>
  </w:style>
  <w:style w:type="paragraph" w:styleId="21">
    <w:name w:val="caption"/>
    <w:basedOn w:val="1"/>
    <w:next w:val="1"/>
    <w:semiHidden/>
    <w:unhideWhenUsed/>
    <w:qFormat/>
    <w:uiPriority w:val="0"/>
    <w:rPr>
      <w:rFonts w:ascii="Cambria" w:hAnsi="Cambria" w:eastAsia="黑体"/>
      <w:sz w:val="20"/>
      <w:szCs w:val="20"/>
    </w:rPr>
  </w:style>
  <w:style w:type="paragraph" w:styleId="22">
    <w:name w:val="Document Map"/>
    <w:basedOn w:val="1"/>
    <w:link w:val="91"/>
    <w:autoRedefine/>
    <w:semiHidden/>
    <w:unhideWhenUsed/>
    <w:qFormat/>
    <w:uiPriority w:val="0"/>
    <w:pPr>
      <w:shd w:val="clear" w:color="auto" w:fill="000080"/>
    </w:pPr>
    <w:rPr>
      <w:kern w:val="0"/>
      <w:sz w:val="20"/>
    </w:rPr>
  </w:style>
  <w:style w:type="paragraph" w:styleId="23">
    <w:name w:val="annotation text"/>
    <w:basedOn w:val="1"/>
    <w:link w:val="77"/>
    <w:semiHidden/>
    <w:unhideWhenUsed/>
    <w:qFormat/>
    <w:uiPriority w:val="0"/>
    <w:pPr>
      <w:adjustRightInd w:val="0"/>
      <w:spacing w:line="360" w:lineRule="atLeast"/>
      <w:jc w:val="left"/>
    </w:pPr>
    <w:rPr>
      <w:kern w:val="0"/>
      <w:sz w:val="24"/>
      <w:szCs w:val="20"/>
    </w:rPr>
  </w:style>
  <w:style w:type="paragraph" w:styleId="24">
    <w:name w:val="Body Text 3"/>
    <w:basedOn w:val="1"/>
    <w:link w:val="88"/>
    <w:autoRedefine/>
    <w:semiHidden/>
    <w:unhideWhenUsed/>
    <w:qFormat/>
    <w:uiPriority w:val="0"/>
    <w:pPr>
      <w:spacing w:after="120"/>
    </w:pPr>
    <w:rPr>
      <w:sz w:val="16"/>
      <w:szCs w:val="16"/>
    </w:rPr>
  </w:style>
  <w:style w:type="paragraph" w:styleId="25">
    <w:name w:val="Body Text Indent"/>
    <w:basedOn w:val="1"/>
    <w:next w:val="26"/>
    <w:link w:val="82"/>
    <w:semiHidden/>
    <w:unhideWhenUsed/>
    <w:qFormat/>
    <w:uiPriority w:val="0"/>
    <w:pPr>
      <w:widowControl/>
      <w:overflowPunct w:val="0"/>
      <w:autoSpaceDE w:val="0"/>
      <w:autoSpaceDN w:val="0"/>
      <w:adjustRightInd w:val="0"/>
      <w:spacing w:line="360" w:lineRule="auto"/>
      <w:ind w:firstLine="540"/>
    </w:pPr>
    <w:rPr>
      <w:rFonts w:ascii="宋体" w:hAnsi="MS Sans Serif"/>
      <w:spacing w:val="12"/>
      <w:kern w:val="0"/>
      <w:sz w:val="24"/>
      <w:szCs w:val="20"/>
    </w:rPr>
  </w:style>
  <w:style w:type="paragraph" w:styleId="26">
    <w:name w:val="Body Text First Indent 2"/>
    <w:basedOn w:val="25"/>
    <w:link w:val="86"/>
    <w:autoRedefine/>
    <w:semiHidden/>
    <w:unhideWhenUsed/>
    <w:qFormat/>
    <w:uiPriority w:val="0"/>
    <w:pPr>
      <w:widowControl w:val="0"/>
      <w:overflowPunct/>
      <w:autoSpaceDE/>
      <w:autoSpaceDN/>
      <w:adjustRightInd/>
      <w:spacing w:after="120" w:line="240" w:lineRule="auto"/>
      <w:ind w:left="420" w:leftChars="200" w:firstLine="420" w:firstLineChars="200"/>
    </w:pPr>
    <w:rPr>
      <w:kern w:val="2"/>
      <w:sz w:val="21"/>
      <w:szCs w:val="24"/>
    </w:rPr>
  </w:style>
  <w:style w:type="paragraph" w:styleId="27">
    <w:name w:val="List 2"/>
    <w:basedOn w:val="1"/>
    <w:autoRedefine/>
    <w:semiHidden/>
    <w:unhideWhenUsed/>
    <w:qFormat/>
    <w:uiPriority w:val="0"/>
    <w:pPr>
      <w:adjustRightInd w:val="0"/>
      <w:spacing w:line="300" w:lineRule="auto"/>
      <w:ind w:left="840" w:hanging="420"/>
    </w:pPr>
    <w:rPr>
      <w:rFonts w:ascii="仿宋_GB2312" w:eastAsia="仿宋_GB2312"/>
      <w:color w:val="000000"/>
      <w:kern w:val="0"/>
      <w:sz w:val="28"/>
      <w:szCs w:val="20"/>
      <w:u w:color="000000"/>
    </w:rPr>
  </w:style>
  <w:style w:type="paragraph" w:styleId="28">
    <w:name w:val="List Continue"/>
    <w:basedOn w:val="1"/>
    <w:semiHidden/>
    <w:unhideWhenUsed/>
    <w:qFormat/>
    <w:uiPriority w:val="0"/>
    <w:pPr>
      <w:adjustRightInd w:val="0"/>
      <w:spacing w:after="120" w:line="300" w:lineRule="auto"/>
      <w:ind w:left="420"/>
    </w:pPr>
    <w:rPr>
      <w:rFonts w:ascii="仿宋_GB2312" w:eastAsia="仿宋_GB2312"/>
      <w:color w:val="000000"/>
      <w:kern w:val="0"/>
      <w:sz w:val="28"/>
      <w:szCs w:val="20"/>
      <w:u w:color="000000"/>
    </w:rPr>
  </w:style>
  <w:style w:type="paragraph" w:styleId="29">
    <w:name w:val="Block Text"/>
    <w:basedOn w:val="1"/>
    <w:autoRedefine/>
    <w:semiHidden/>
    <w:unhideWhenUsed/>
    <w:qFormat/>
    <w:uiPriority w:val="0"/>
    <w:pPr>
      <w:adjustRightInd w:val="0"/>
      <w:ind w:left="420" w:right="33"/>
      <w:jc w:val="left"/>
    </w:pPr>
    <w:rPr>
      <w:kern w:val="0"/>
      <w:sz w:val="24"/>
      <w:szCs w:val="20"/>
    </w:rPr>
  </w:style>
  <w:style w:type="paragraph" w:styleId="30">
    <w:name w:val="index 4"/>
    <w:basedOn w:val="1"/>
    <w:next w:val="1"/>
    <w:autoRedefine/>
    <w:semiHidden/>
    <w:unhideWhenUsed/>
    <w:qFormat/>
    <w:uiPriority w:val="0"/>
    <w:pPr>
      <w:ind w:left="600" w:leftChars="600"/>
    </w:pPr>
  </w:style>
  <w:style w:type="paragraph" w:styleId="31">
    <w:name w:val="toc 5"/>
    <w:basedOn w:val="1"/>
    <w:next w:val="1"/>
    <w:autoRedefine/>
    <w:semiHidden/>
    <w:unhideWhenUsed/>
    <w:qFormat/>
    <w:uiPriority w:val="0"/>
    <w:pPr>
      <w:widowControl/>
      <w:ind w:left="800"/>
      <w:jc w:val="left"/>
    </w:pPr>
    <w:rPr>
      <w:kern w:val="0"/>
      <w:sz w:val="20"/>
      <w:szCs w:val="21"/>
    </w:rPr>
  </w:style>
  <w:style w:type="paragraph" w:styleId="32">
    <w:name w:val="toc 3"/>
    <w:basedOn w:val="1"/>
    <w:next w:val="1"/>
    <w:autoRedefine/>
    <w:semiHidden/>
    <w:unhideWhenUsed/>
    <w:qFormat/>
    <w:uiPriority w:val="0"/>
    <w:pPr>
      <w:ind w:left="840" w:leftChars="400"/>
    </w:pPr>
    <w:rPr>
      <w:rFonts w:ascii="Calibri" w:hAnsi="Calibri"/>
      <w:szCs w:val="22"/>
    </w:rPr>
  </w:style>
  <w:style w:type="paragraph" w:styleId="33">
    <w:name w:val="Plain Text"/>
    <w:basedOn w:val="1"/>
    <w:link w:val="92"/>
    <w:autoRedefine/>
    <w:semiHidden/>
    <w:unhideWhenUsed/>
    <w:qFormat/>
    <w:uiPriority w:val="0"/>
    <w:rPr>
      <w:rFonts w:ascii="宋体" w:hAnsi="Courier New"/>
      <w:szCs w:val="20"/>
    </w:rPr>
  </w:style>
  <w:style w:type="paragraph" w:styleId="34">
    <w:name w:val="toc 8"/>
    <w:basedOn w:val="1"/>
    <w:next w:val="1"/>
    <w:autoRedefine/>
    <w:semiHidden/>
    <w:unhideWhenUsed/>
    <w:qFormat/>
    <w:uiPriority w:val="0"/>
    <w:pPr>
      <w:ind w:left="2940" w:leftChars="1400"/>
    </w:pPr>
    <w:rPr>
      <w:rFonts w:ascii="Calibri" w:hAnsi="Calibri"/>
      <w:szCs w:val="22"/>
    </w:rPr>
  </w:style>
  <w:style w:type="paragraph" w:styleId="35">
    <w:name w:val="Date"/>
    <w:basedOn w:val="1"/>
    <w:next w:val="1"/>
    <w:link w:val="84"/>
    <w:autoRedefine/>
    <w:semiHidden/>
    <w:unhideWhenUsed/>
    <w:qFormat/>
    <w:uiPriority w:val="0"/>
    <w:pPr>
      <w:ind w:left="100" w:leftChars="2500"/>
    </w:pPr>
  </w:style>
  <w:style w:type="paragraph" w:styleId="36">
    <w:name w:val="Body Text Indent 2"/>
    <w:basedOn w:val="1"/>
    <w:link w:val="89"/>
    <w:autoRedefine/>
    <w:semiHidden/>
    <w:unhideWhenUsed/>
    <w:qFormat/>
    <w:uiPriority w:val="0"/>
    <w:pPr>
      <w:widowControl/>
      <w:overflowPunct w:val="0"/>
      <w:autoSpaceDE w:val="0"/>
      <w:autoSpaceDN w:val="0"/>
      <w:adjustRightInd w:val="0"/>
      <w:spacing w:line="360" w:lineRule="auto"/>
      <w:ind w:firstLine="555"/>
    </w:pPr>
    <w:rPr>
      <w:rFonts w:ascii="宋体" w:hAnsi="MS Sans Serif"/>
      <w:spacing w:val="12"/>
      <w:kern w:val="0"/>
      <w:sz w:val="24"/>
      <w:szCs w:val="20"/>
    </w:rPr>
  </w:style>
  <w:style w:type="paragraph" w:styleId="37">
    <w:name w:val="List Continue 5"/>
    <w:basedOn w:val="1"/>
    <w:autoRedefine/>
    <w:semiHidden/>
    <w:unhideWhenUsed/>
    <w:qFormat/>
    <w:uiPriority w:val="0"/>
    <w:pPr>
      <w:adjustRightInd w:val="0"/>
      <w:spacing w:after="120" w:line="300" w:lineRule="auto"/>
      <w:ind w:left="2100"/>
    </w:pPr>
    <w:rPr>
      <w:rFonts w:ascii="仿宋_GB2312" w:eastAsia="仿宋_GB2312"/>
      <w:color w:val="000000"/>
      <w:kern w:val="0"/>
      <w:sz w:val="28"/>
      <w:szCs w:val="20"/>
      <w:u w:color="000000"/>
    </w:rPr>
  </w:style>
  <w:style w:type="paragraph" w:styleId="38">
    <w:name w:val="Balloon Text"/>
    <w:basedOn w:val="1"/>
    <w:link w:val="94"/>
    <w:semiHidden/>
    <w:unhideWhenUsed/>
    <w:qFormat/>
    <w:uiPriority w:val="0"/>
    <w:rPr>
      <w:rFonts w:ascii="宋体"/>
      <w:kern w:val="0"/>
      <w:sz w:val="18"/>
      <w:szCs w:val="18"/>
    </w:rPr>
  </w:style>
  <w:style w:type="paragraph" w:styleId="39">
    <w:name w:val="footer"/>
    <w:basedOn w:val="1"/>
    <w:link w:val="79"/>
    <w:unhideWhenUsed/>
    <w:qFormat/>
    <w:uiPriority w:val="0"/>
    <w:pPr>
      <w:tabs>
        <w:tab w:val="center" w:pos="4153"/>
        <w:tab w:val="right" w:pos="8306"/>
      </w:tabs>
      <w:snapToGrid w:val="0"/>
      <w:jc w:val="left"/>
    </w:pPr>
    <w:rPr>
      <w:sz w:val="18"/>
      <w:szCs w:val="18"/>
    </w:rPr>
  </w:style>
  <w:style w:type="paragraph" w:styleId="40">
    <w:name w:val="envelope return"/>
    <w:basedOn w:val="1"/>
    <w:qFormat/>
    <w:uiPriority w:val="99"/>
    <w:pPr>
      <w:snapToGrid w:val="0"/>
    </w:pPr>
    <w:rPr>
      <w:rFonts w:ascii="Arial" w:hAnsi="Arial"/>
    </w:rPr>
  </w:style>
  <w:style w:type="paragraph" w:styleId="41">
    <w:name w:val="header"/>
    <w:basedOn w:val="1"/>
    <w:link w:val="78"/>
    <w:unhideWhenUsed/>
    <w:qFormat/>
    <w:uiPriority w:val="0"/>
    <w:pPr>
      <w:widowControl/>
      <w:pBdr>
        <w:bottom w:val="single" w:color="auto" w:sz="6" w:space="1"/>
      </w:pBdr>
      <w:tabs>
        <w:tab w:val="center" w:pos="4153"/>
        <w:tab w:val="right" w:pos="8306"/>
      </w:tabs>
      <w:snapToGrid w:val="0"/>
      <w:jc w:val="center"/>
    </w:pPr>
    <w:rPr>
      <w:kern w:val="0"/>
      <w:sz w:val="18"/>
      <w:szCs w:val="20"/>
    </w:rPr>
  </w:style>
  <w:style w:type="paragraph" w:styleId="42">
    <w:name w:val="toc 1"/>
    <w:basedOn w:val="1"/>
    <w:next w:val="1"/>
    <w:semiHidden/>
    <w:unhideWhenUsed/>
    <w:qFormat/>
    <w:uiPriority w:val="0"/>
    <w:pPr>
      <w:widowControl/>
      <w:spacing w:before="120" w:after="120"/>
      <w:jc w:val="left"/>
    </w:pPr>
    <w:rPr>
      <w:b/>
      <w:bCs/>
      <w:caps/>
      <w:kern w:val="0"/>
      <w:sz w:val="20"/>
    </w:rPr>
  </w:style>
  <w:style w:type="paragraph" w:styleId="43">
    <w:name w:val="List Continue 4"/>
    <w:basedOn w:val="1"/>
    <w:semiHidden/>
    <w:unhideWhenUsed/>
    <w:qFormat/>
    <w:uiPriority w:val="0"/>
    <w:pPr>
      <w:adjustRightInd w:val="0"/>
      <w:spacing w:after="120" w:line="300" w:lineRule="auto"/>
      <w:ind w:left="1680"/>
    </w:pPr>
    <w:rPr>
      <w:rFonts w:ascii="仿宋_GB2312" w:eastAsia="仿宋_GB2312"/>
      <w:color w:val="000000"/>
      <w:kern w:val="0"/>
      <w:sz w:val="28"/>
      <w:szCs w:val="20"/>
      <w:u w:color="000000"/>
    </w:rPr>
  </w:style>
  <w:style w:type="paragraph" w:styleId="44">
    <w:name w:val="toc 4"/>
    <w:basedOn w:val="1"/>
    <w:next w:val="1"/>
    <w:semiHidden/>
    <w:unhideWhenUsed/>
    <w:qFormat/>
    <w:uiPriority w:val="0"/>
    <w:pPr>
      <w:tabs>
        <w:tab w:val="left" w:pos="1890"/>
        <w:tab w:val="right" w:leader="dot" w:pos="8296"/>
      </w:tabs>
      <w:ind w:left="630" w:leftChars="300"/>
    </w:pPr>
    <w:rPr>
      <w:rFonts w:ascii="Calibri" w:hAnsi="Calibri"/>
      <w:szCs w:val="22"/>
    </w:rPr>
  </w:style>
  <w:style w:type="paragraph" w:styleId="45">
    <w:name w:val="Subtitle"/>
    <w:basedOn w:val="1"/>
    <w:next w:val="1"/>
    <w:link w:val="83"/>
    <w:qFormat/>
    <w:uiPriority w:val="0"/>
    <w:pPr>
      <w:spacing w:before="240" w:after="60" w:line="312" w:lineRule="auto"/>
      <w:jc w:val="center"/>
      <w:outlineLvl w:val="1"/>
    </w:pPr>
    <w:rPr>
      <w:rFonts w:ascii="Cambria" w:hAnsi="Cambria"/>
      <w:b/>
      <w:bCs/>
      <w:kern w:val="28"/>
      <w:sz w:val="32"/>
      <w:szCs w:val="32"/>
    </w:rPr>
  </w:style>
  <w:style w:type="paragraph" w:styleId="46">
    <w:name w:val="List"/>
    <w:basedOn w:val="1"/>
    <w:semiHidden/>
    <w:unhideWhenUsed/>
    <w:qFormat/>
    <w:uiPriority w:val="0"/>
    <w:pPr>
      <w:adjustRightInd w:val="0"/>
      <w:spacing w:line="300" w:lineRule="auto"/>
      <w:ind w:left="420" w:hanging="420"/>
    </w:pPr>
    <w:rPr>
      <w:rFonts w:ascii="仿宋_GB2312" w:eastAsia="仿宋_GB2312"/>
      <w:color w:val="000000"/>
      <w:kern w:val="0"/>
      <w:sz w:val="28"/>
      <w:szCs w:val="20"/>
      <w:u w:color="000000"/>
    </w:rPr>
  </w:style>
  <w:style w:type="paragraph" w:styleId="47">
    <w:name w:val="toc 6"/>
    <w:basedOn w:val="1"/>
    <w:next w:val="1"/>
    <w:autoRedefine/>
    <w:semiHidden/>
    <w:unhideWhenUsed/>
    <w:qFormat/>
    <w:uiPriority w:val="0"/>
    <w:pPr>
      <w:ind w:left="2100" w:leftChars="1000"/>
    </w:pPr>
    <w:rPr>
      <w:rFonts w:ascii="Calibri" w:hAnsi="Calibri"/>
      <w:szCs w:val="22"/>
    </w:rPr>
  </w:style>
  <w:style w:type="paragraph" w:styleId="48">
    <w:name w:val="List 5"/>
    <w:basedOn w:val="1"/>
    <w:semiHidden/>
    <w:unhideWhenUsed/>
    <w:qFormat/>
    <w:uiPriority w:val="0"/>
    <w:pPr>
      <w:adjustRightInd w:val="0"/>
      <w:spacing w:line="300" w:lineRule="auto"/>
      <w:ind w:left="2100" w:hanging="420"/>
    </w:pPr>
    <w:rPr>
      <w:rFonts w:ascii="仿宋_GB2312" w:eastAsia="仿宋_GB2312"/>
      <w:color w:val="000000"/>
      <w:kern w:val="0"/>
      <w:sz w:val="28"/>
      <w:szCs w:val="20"/>
      <w:u w:color="000000"/>
    </w:rPr>
  </w:style>
  <w:style w:type="paragraph" w:styleId="49">
    <w:name w:val="Body Text Indent 3"/>
    <w:basedOn w:val="1"/>
    <w:link w:val="90"/>
    <w:autoRedefine/>
    <w:semiHidden/>
    <w:unhideWhenUsed/>
    <w:qFormat/>
    <w:uiPriority w:val="0"/>
    <w:pPr>
      <w:widowControl/>
      <w:overflowPunct w:val="0"/>
      <w:autoSpaceDE w:val="0"/>
      <w:autoSpaceDN w:val="0"/>
      <w:adjustRightInd w:val="0"/>
      <w:spacing w:line="360" w:lineRule="auto"/>
      <w:ind w:firstLine="540"/>
    </w:pPr>
    <w:rPr>
      <w:rFonts w:ascii="宋体" w:hAnsi="MS Sans Serif"/>
      <w:color w:val="000000"/>
      <w:kern w:val="0"/>
      <w:sz w:val="24"/>
      <w:szCs w:val="20"/>
    </w:rPr>
  </w:style>
  <w:style w:type="paragraph" w:styleId="50">
    <w:name w:val="toc 2"/>
    <w:basedOn w:val="1"/>
    <w:next w:val="1"/>
    <w:semiHidden/>
    <w:unhideWhenUsed/>
    <w:qFormat/>
    <w:uiPriority w:val="0"/>
    <w:pPr>
      <w:ind w:left="420" w:leftChars="200"/>
    </w:pPr>
    <w:rPr>
      <w:rFonts w:ascii="宋体"/>
      <w:b/>
      <w:sz w:val="28"/>
      <w:szCs w:val="20"/>
    </w:rPr>
  </w:style>
  <w:style w:type="paragraph" w:styleId="51">
    <w:name w:val="toc 9"/>
    <w:basedOn w:val="1"/>
    <w:next w:val="1"/>
    <w:autoRedefine/>
    <w:semiHidden/>
    <w:unhideWhenUsed/>
    <w:qFormat/>
    <w:uiPriority w:val="0"/>
    <w:pPr>
      <w:widowControl/>
      <w:ind w:left="1600"/>
      <w:jc w:val="left"/>
    </w:pPr>
    <w:rPr>
      <w:kern w:val="0"/>
      <w:sz w:val="20"/>
      <w:szCs w:val="21"/>
    </w:rPr>
  </w:style>
  <w:style w:type="paragraph" w:styleId="52">
    <w:name w:val="Body Text 2"/>
    <w:basedOn w:val="1"/>
    <w:next w:val="51"/>
    <w:link w:val="87"/>
    <w:semiHidden/>
    <w:unhideWhenUsed/>
    <w:qFormat/>
    <w:uiPriority w:val="0"/>
    <w:pPr>
      <w:spacing w:line="300" w:lineRule="auto"/>
      <w:jc w:val="center"/>
    </w:pPr>
    <w:rPr>
      <w:rFonts w:ascii="隶书" w:eastAsia="隶书"/>
      <w:color w:val="000000"/>
      <w:kern w:val="0"/>
      <w:sz w:val="84"/>
      <w:szCs w:val="20"/>
      <w:u w:color="000000"/>
    </w:rPr>
  </w:style>
  <w:style w:type="paragraph" w:styleId="53">
    <w:name w:val="List 4"/>
    <w:basedOn w:val="1"/>
    <w:semiHidden/>
    <w:unhideWhenUsed/>
    <w:qFormat/>
    <w:uiPriority w:val="0"/>
    <w:pPr>
      <w:adjustRightInd w:val="0"/>
      <w:spacing w:line="300" w:lineRule="auto"/>
      <w:ind w:left="1680" w:hanging="420"/>
    </w:pPr>
    <w:rPr>
      <w:rFonts w:ascii="仿宋_GB2312" w:eastAsia="仿宋_GB2312"/>
      <w:color w:val="000000"/>
      <w:kern w:val="0"/>
      <w:sz w:val="28"/>
      <w:szCs w:val="20"/>
      <w:u w:color="000000"/>
    </w:rPr>
  </w:style>
  <w:style w:type="paragraph" w:styleId="54">
    <w:name w:val="List Continue 2"/>
    <w:basedOn w:val="1"/>
    <w:autoRedefine/>
    <w:semiHidden/>
    <w:unhideWhenUsed/>
    <w:qFormat/>
    <w:uiPriority w:val="0"/>
    <w:pPr>
      <w:adjustRightInd w:val="0"/>
      <w:spacing w:after="120" w:line="300" w:lineRule="auto"/>
      <w:ind w:left="840"/>
    </w:pPr>
    <w:rPr>
      <w:rFonts w:ascii="仿宋_GB2312" w:eastAsia="仿宋_GB2312"/>
      <w:color w:val="000000"/>
      <w:kern w:val="0"/>
      <w:sz w:val="28"/>
      <w:szCs w:val="20"/>
      <w:u w:color="000000"/>
    </w:rPr>
  </w:style>
  <w:style w:type="paragraph" w:styleId="55">
    <w:name w:val="Normal (Web)"/>
    <w:basedOn w:val="1"/>
    <w:autoRedefine/>
    <w:semiHidden/>
    <w:unhideWhenUsed/>
    <w:qFormat/>
    <w:uiPriority w:val="0"/>
    <w:pPr>
      <w:widowControl/>
      <w:spacing w:before="100" w:beforeAutospacing="1" w:after="100" w:afterAutospacing="1"/>
      <w:jc w:val="left"/>
    </w:pPr>
    <w:rPr>
      <w:rFonts w:ascii="宋体" w:hAnsi="宋体" w:cs="宋体"/>
      <w:kern w:val="0"/>
      <w:sz w:val="24"/>
    </w:rPr>
  </w:style>
  <w:style w:type="paragraph" w:styleId="56">
    <w:name w:val="List Continue 3"/>
    <w:basedOn w:val="1"/>
    <w:autoRedefine/>
    <w:semiHidden/>
    <w:unhideWhenUsed/>
    <w:qFormat/>
    <w:uiPriority w:val="0"/>
    <w:pPr>
      <w:adjustRightInd w:val="0"/>
      <w:spacing w:after="120" w:line="300" w:lineRule="auto"/>
      <w:ind w:left="1260"/>
    </w:pPr>
    <w:rPr>
      <w:rFonts w:ascii="仿宋_GB2312" w:eastAsia="仿宋_GB2312"/>
      <w:color w:val="000000"/>
      <w:kern w:val="0"/>
      <w:sz w:val="28"/>
      <w:szCs w:val="20"/>
      <w:u w:color="000000"/>
    </w:rPr>
  </w:style>
  <w:style w:type="paragraph" w:styleId="57">
    <w:name w:val="Title"/>
    <w:basedOn w:val="1"/>
    <w:next w:val="1"/>
    <w:link w:val="80"/>
    <w:autoRedefine/>
    <w:qFormat/>
    <w:uiPriority w:val="0"/>
    <w:pPr>
      <w:spacing w:before="240" w:after="60"/>
      <w:jc w:val="center"/>
      <w:outlineLvl w:val="0"/>
    </w:pPr>
    <w:rPr>
      <w:rFonts w:ascii="Cambria" w:hAnsi="Cambria"/>
      <w:b/>
      <w:bCs/>
      <w:sz w:val="32"/>
      <w:szCs w:val="32"/>
    </w:rPr>
  </w:style>
  <w:style w:type="paragraph" w:styleId="58">
    <w:name w:val="annotation subject"/>
    <w:basedOn w:val="23"/>
    <w:next w:val="23"/>
    <w:link w:val="93"/>
    <w:autoRedefine/>
    <w:semiHidden/>
    <w:unhideWhenUsed/>
    <w:qFormat/>
    <w:uiPriority w:val="0"/>
    <w:pPr>
      <w:adjustRightInd/>
      <w:spacing w:line="240" w:lineRule="auto"/>
    </w:pPr>
    <w:rPr>
      <w:rFonts w:ascii="宋体"/>
      <w:b/>
      <w:bCs/>
      <w:sz w:val="28"/>
    </w:rPr>
  </w:style>
  <w:style w:type="table" w:styleId="60">
    <w:name w:val="Table Grid"/>
    <w:basedOn w:val="59"/>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2">
    <w:name w:val="FollowedHyperlink"/>
    <w:autoRedefine/>
    <w:semiHidden/>
    <w:unhideWhenUsed/>
    <w:qFormat/>
    <w:uiPriority w:val="0"/>
    <w:rPr>
      <w:color w:val="800080"/>
      <w:u w:val="single"/>
    </w:rPr>
  </w:style>
  <w:style w:type="character" w:styleId="63">
    <w:name w:val="Hyperlink"/>
    <w:autoRedefine/>
    <w:semiHidden/>
    <w:unhideWhenUsed/>
    <w:qFormat/>
    <w:uiPriority w:val="0"/>
    <w:rPr>
      <w:color w:val="0000FF"/>
      <w:u w:val="single"/>
    </w:rPr>
  </w:style>
  <w:style w:type="character" w:styleId="64">
    <w:name w:val="annotation reference"/>
    <w:autoRedefine/>
    <w:semiHidden/>
    <w:unhideWhenUsed/>
    <w:qFormat/>
    <w:uiPriority w:val="0"/>
    <w:rPr>
      <w:rFonts w:hint="default" w:ascii="Times New Roman" w:hAnsi="Times New Roman" w:cs="Times New Roman"/>
      <w:sz w:val="21"/>
      <w:szCs w:val="21"/>
    </w:rPr>
  </w:style>
  <w:style w:type="paragraph" w:customStyle="1" w:styleId="65">
    <w:name w:val="TableOfAuthoring"/>
    <w:basedOn w:val="1"/>
    <w:next w:val="1"/>
    <w:autoRedefine/>
    <w:qFormat/>
    <w:uiPriority w:val="0"/>
    <w:pPr>
      <w:spacing w:line="240" w:lineRule="auto"/>
      <w:ind w:left="420" w:leftChars="200"/>
      <w:jc w:val="both"/>
      <w:textAlignment w:val="baseline"/>
    </w:pPr>
  </w:style>
  <w:style w:type="character" w:customStyle="1" w:styleId="66">
    <w:name w:val="标题 1 Char"/>
    <w:basedOn w:val="61"/>
    <w:link w:val="4"/>
    <w:autoRedefine/>
    <w:qFormat/>
    <w:uiPriority w:val="0"/>
    <w:rPr>
      <w:rFonts w:ascii="黑体" w:hAnsi="宋体" w:eastAsia="黑体" w:cs="宋体"/>
      <w:kern w:val="0"/>
      <w:sz w:val="52"/>
      <w:szCs w:val="20"/>
    </w:rPr>
  </w:style>
  <w:style w:type="character" w:customStyle="1" w:styleId="67">
    <w:name w:val="标题 2 Char"/>
    <w:basedOn w:val="61"/>
    <w:link w:val="5"/>
    <w:autoRedefine/>
    <w:semiHidden/>
    <w:qFormat/>
    <w:uiPriority w:val="0"/>
    <w:rPr>
      <w:rFonts w:ascii="Arial" w:hAnsi="Arial" w:eastAsia="黑体" w:cs="Times New Roman"/>
      <w:b/>
      <w:bCs/>
      <w:sz w:val="32"/>
      <w:szCs w:val="32"/>
    </w:rPr>
  </w:style>
  <w:style w:type="character" w:customStyle="1" w:styleId="68">
    <w:name w:val="标题 3 Char"/>
    <w:basedOn w:val="61"/>
    <w:link w:val="10"/>
    <w:autoRedefine/>
    <w:semiHidden/>
    <w:qFormat/>
    <w:uiPriority w:val="0"/>
    <w:rPr>
      <w:rFonts w:ascii="Times New Roman" w:hAnsi="Times New Roman" w:eastAsia="宋体" w:cs="Times New Roman"/>
      <w:b/>
      <w:bCs/>
      <w:sz w:val="32"/>
      <w:szCs w:val="32"/>
    </w:rPr>
  </w:style>
  <w:style w:type="character" w:customStyle="1" w:styleId="69">
    <w:name w:val="标题 4 Char"/>
    <w:basedOn w:val="61"/>
    <w:link w:val="11"/>
    <w:autoRedefine/>
    <w:semiHidden/>
    <w:qFormat/>
    <w:uiPriority w:val="0"/>
    <w:rPr>
      <w:rFonts w:ascii="Arial" w:hAnsi="Arial" w:eastAsia="黑体" w:cs="Times New Roman"/>
      <w:kern w:val="0"/>
      <w:sz w:val="28"/>
      <w:szCs w:val="20"/>
    </w:rPr>
  </w:style>
  <w:style w:type="character" w:customStyle="1" w:styleId="70">
    <w:name w:val="标题 5 Char"/>
    <w:basedOn w:val="61"/>
    <w:link w:val="12"/>
    <w:autoRedefine/>
    <w:semiHidden/>
    <w:qFormat/>
    <w:uiPriority w:val="0"/>
    <w:rPr>
      <w:rFonts w:ascii="宋体" w:hAnsi="宋体" w:eastAsia="宋体" w:cs="宋体"/>
      <w:b/>
      <w:kern w:val="0"/>
      <w:sz w:val="24"/>
      <w:szCs w:val="20"/>
    </w:rPr>
  </w:style>
  <w:style w:type="character" w:customStyle="1" w:styleId="71">
    <w:name w:val="标题 6 Char"/>
    <w:basedOn w:val="61"/>
    <w:link w:val="13"/>
    <w:autoRedefine/>
    <w:semiHidden/>
    <w:qFormat/>
    <w:uiPriority w:val="0"/>
    <w:rPr>
      <w:rFonts w:ascii="Arial" w:hAnsi="Arial" w:eastAsia="黑体" w:cs="Times New Roman"/>
      <w:b/>
      <w:bCs/>
      <w:kern w:val="0"/>
      <w:sz w:val="24"/>
      <w:szCs w:val="24"/>
    </w:rPr>
  </w:style>
  <w:style w:type="character" w:customStyle="1" w:styleId="72">
    <w:name w:val="标题 7 Char"/>
    <w:basedOn w:val="61"/>
    <w:link w:val="14"/>
    <w:autoRedefine/>
    <w:semiHidden/>
    <w:qFormat/>
    <w:uiPriority w:val="0"/>
    <w:rPr>
      <w:rFonts w:ascii="Times New Roman" w:hAnsi="Times New Roman" w:eastAsia="宋体" w:cs="Times New Roman"/>
      <w:b/>
      <w:bCs/>
      <w:kern w:val="0"/>
      <w:sz w:val="24"/>
      <w:szCs w:val="24"/>
    </w:rPr>
  </w:style>
  <w:style w:type="character" w:customStyle="1" w:styleId="73">
    <w:name w:val="标题 8 Char"/>
    <w:basedOn w:val="61"/>
    <w:link w:val="15"/>
    <w:autoRedefine/>
    <w:semiHidden/>
    <w:qFormat/>
    <w:uiPriority w:val="0"/>
    <w:rPr>
      <w:rFonts w:ascii="Arial" w:hAnsi="Arial" w:eastAsia="黑体" w:cs="Times New Roman"/>
      <w:kern w:val="0"/>
      <w:sz w:val="24"/>
      <w:szCs w:val="24"/>
    </w:rPr>
  </w:style>
  <w:style w:type="character" w:customStyle="1" w:styleId="74">
    <w:name w:val="标题 9 Char"/>
    <w:basedOn w:val="61"/>
    <w:link w:val="16"/>
    <w:autoRedefine/>
    <w:semiHidden/>
    <w:qFormat/>
    <w:uiPriority w:val="0"/>
    <w:rPr>
      <w:rFonts w:ascii="Arial" w:hAnsi="Arial" w:eastAsia="黑体" w:cs="Times New Roman"/>
      <w:kern w:val="0"/>
      <w:szCs w:val="21"/>
    </w:rPr>
  </w:style>
  <w:style w:type="paragraph" w:customStyle="1" w:styleId="75">
    <w:name w:val="msonormal"/>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76">
    <w:name w:val="正文缩进 Char"/>
    <w:link w:val="20"/>
    <w:autoRedefine/>
    <w:semiHidden/>
    <w:qFormat/>
    <w:locked/>
    <w:uiPriority w:val="0"/>
  </w:style>
  <w:style w:type="character" w:customStyle="1" w:styleId="77">
    <w:name w:val="批注文字 Char"/>
    <w:basedOn w:val="61"/>
    <w:link w:val="23"/>
    <w:autoRedefine/>
    <w:semiHidden/>
    <w:qFormat/>
    <w:uiPriority w:val="0"/>
    <w:rPr>
      <w:rFonts w:ascii="Times New Roman" w:hAnsi="Times New Roman" w:eastAsia="宋体" w:cs="Times New Roman"/>
      <w:kern w:val="0"/>
      <w:sz w:val="24"/>
      <w:szCs w:val="20"/>
    </w:rPr>
  </w:style>
  <w:style w:type="character" w:customStyle="1" w:styleId="78">
    <w:name w:val="页眉 Char"/>
    <w:basedOn w:val="61"/>
    <w:link w:val="41"/>
    <w:autoRedefine/>
    <w:qFormat/>
    <w:uiPriority w:val="0"/>
    <w:rPr>
      <w:rFonts w:ascii="Times New Roman" w:hAnsi="Times New Roman" w:eastAsia="宋体" w:cs="Times New Roman"/>
      <w:kern w:val="0"/>
      <w:sz w:val="18"/>
      <w:szCs w:val="20"/>
    </w:rPr>
  </w:style>
  <w:style w:type="character" w:customStyle="1" w:styleId="79">
    <w:name w:val="页脚 Char"/>
    <w:basedOn w:val="61"/>
    <w:link w:val="39"/>
    <w:autoRedefine/>
    <w:qFormat/>
    <w:uiPriority w:val="0"/>
    <w:rPr>
      <w:rFonts w:ascii="Times New Roman" w:hAnsi="Times New Roman" w:eastAsia="宋体" w:cs="Times New Roman"/>
      <w:sz w:val="18"/>
      <w:szCs w:val="18"/>
    </w:rPr>
  </w:style>
  <w:style w:type="character" w:customStyle="1" w:styleId="80">
    <w:name w:val="标题 Char"/>
    <w:basedOn w:val="61"/>
    <w:link w:val="57"/>
    <w:autoRedefine/>
    <w:qFormat/>
    <w:uiPriority w:val="0"/>
    <w:rPr>
      <w:rFonts w:ascii="Cambria" w:hAnsi="Cambria" w:eastAsia="宋体" w:cs="Times New Roman"/>
      <w:b/>
      <w:bCs/>
      <w:sz w:val="32"/>
      <w:szCs w:val="32"/>
    </w:rPr>
  </w:style>
  <w:style w:type="character" w:customStyle="1" w:styleId="81">
    <w:name w:val="正文文本 字符"/>
    <w:basedOn w:val="61"/>
    <w:autoRedefine/>
    <w:semiHidden/>
    <w:qFormat/>
    <w:uiPriority w:val="0"/>
    <w:rPr>
      <w:rFonts w:ascii="Times New Roman" w:hAnsi="Times New Roman" w:eastAsia="宋体" w:cs="Times New Roman"/>
      <w:szCs w:val="24"/>
    </w:rPr>
  </w:style>
  <w:style w:type="character" w:customStyle="1" w:styleId="82">
    <w:name w:val="正文文本缩进 Char1"/>
    <w:basedOn w:val="61"/>
    <w:link w:val="25"/>
    <w:autoRedefine/>
    <w:semiHidden/>
    <w:qFormat/>
    <w:uiPriority w:val="0"/>
    <w:rPr>
      <w:rFonts w:ascii="宋体" w:hAnsi="MS Sans Serif" w:eastAsia="宋体" w:cs="Times New Roman"/>
      <w:spacing w:val="12"/>
      <w:kern w:val="0"/>
      <w:sz w:val="24"/>
      <w:szCs w:val="20"/>
    </w:rPr>
  </w:style>
  <w:style w:type="character" w:customStyle="1" w:styleId="83">
    <w:name w:val="副标题 Char"/>
    <w:basedOn w:val="61"/>
    <w:link w:val="45"/>
    <w:autoRedefine/>
    <w:qFormat/>
    <w:uiPriority w:val="0"/>
    <w:rPr>
      <w:rFonts w:ascii="Cambria" w:hAnsi="Cambria" w:eastAsia="宋体" w:cs="Times New Roman"/>
      <w:b/>
      <w:bCs/>
      <w:kern w:val="28"/>
      <w:sz w:val="32"/>
      <w:szCs w:val="32"/>
    </w:rPr>
  </w:style>
  <w:style w:type="character" w:customStyle="1" w:styleId="84">
    <w:name w:val="日期 Char"/>
    <w:basedOn w:val="61"/>
    <w:link w:val="35"/>
    <w:autoRedefine/>
    <w:semiHidden/>
    <w:qFormat/>
    <w:uiPriority w:val="0"/>
    <w:rPr>
      <w:rFonts w:ascii="Times New Roman" w:hAnsi="Times New Roman" w:eastAsia="宋体" w:cs="Times New Roman"/>
      <w:szCs w:val="24"/>
    </w:rPr>
  </w:style>
  <w:style w:type="character" w:customStyle="1" w:styleId="85">
    <w:name w:val="正文首行缩进 Char"/>
    <w:basedOn w:val="81"/>
    <w:link w:val="2"/>
    <w:autoRedefine/>
    <w:semiHidden/>
    <w:qFormat/>
    <w:uiPriority w:val="0"/>
    <w:rPr>
      <w:rFonts w:ascii="Times New Roman" w:hAnsi="Times New Roman" w:eastAsia="宋体" w:cs="Times New Roman"/>
      <w:szCs w:val="24"/>
    </w:rPr>
  </w:style>
  <w:style w:type="character" w:customStyle="1" w:styleId="86">
    <w:name w:val="正文首行缩进 2 Char"/>
    <w:basedOn w:val="82"/>
    <w:link w:val="26"/>
    <w:autoRedefine/>
    <w:semiHidden/>
    <w:qFormat/>
    <w:uiPriority w:val="0"/>
    <w:rPr>
      <w:rFonts w:ascii="宋体" w:hAnsi="MS Sans Serif" w:eastAsia="宋体" w:cs="Times New Roman"/>
      <w:spacing w:val="12"/>
      <w:kern w:val="0"/>
      <w:sz w:val="24"/>
      <w:szCs w:val="24"/>
    </w:rPr>
  </w:style>
  <w:style w:type="character" w:customStyle="1" w:styleId="87">
    <w:name w:val="正文文本 2 Char"/>
    <w:basedOn w:val="61"/>
    <w:link w:val="52"/>
    <w:autoRedefine/>
    <w:semiHidden/>
    <w:qFormat/>
    <w:uiPriority w:val="0"/>
    <w:rPr>
      <w:rFonts w:ascii="隶书" w:hAnsi="Times New Roman" w:eastAsia="隶书" w:cs="Times New Roman"/>
      <w:color w:val="000000"/>
      <w:kern w:val="0"/>
      <w:sz w:val="84"/>
      <w:szCs w:val="20"/>
      <w:u w:color="000000"/>
    </w:rPr>
  </w:style>
  <w:style w:type="character" w:customStyle="1" w:styleId="88">
    <w:name w:val="正文文本 3 Char"/>
    <w:basedOn w:val="61"/>
    <w:link w:val="24"/>
    <w:autoRedefine/>
    <w:semiHidden/>
    <w:qFormat/>
    <w:uiPriority w:val="0"/>
    <w:rPr>
      <w:rFonts w:ascii="Times New Roman" w:hAnsi="Times New Roman" w:eastAsia="宋体" w:cs="Times New Roman"/>
      <w:sz w:val="16"/>
      <w:szCs w:val="16"/>
    </w:rPr>
  </w:style>
  <w:style w:type="character" w:customStyle="1" w:styleId="89">
    <w:name w:val="正文文本缩进 2 Char"/>
    <w:basedOn w:val="61"/>
    <w:link w:val="36"/>
    <w:autoRedefine/>
    <w:semiHidden/>
    <w:qFormat/>
    <w:uiPriority w:val="0"/>
    <w:rPr>
      <w:rFonts w:ascii="宋体" w:hAnsi="MS Sans Serif" w:eastAsia="宋体" w:cs="Times New Roman"/>
      <w:spacing w:val="12"/>
      <w:kern w:val="0"/>
      <w:sz w:val="24"/>
      <w:szCs w:val="20"/>
    </w:rPr>
  </w:style>
  <w:style w:type="character" w:customStyle="1" w:styleId="90">
    <w:name w:val="正文文本缩进 3 Char"/>
    <w:basedOn w:val="61"/>
    <w:link w:val="49"/>
    <w:semiHidden/>
    <w:qFormat/>
    <w:uiPriority w:val="0"/>
    <w:rPr>
      <w:rFonts w:ascii="宋体" w:hAnsi="MS Sans Serif" w:eastAsia="宋体" w:cs="Times New Roman"/>
      <w:color w:val="000000"/>
      <w:kern w:val="0"/>
      <w:sz w:val="24"/>
      <w:szCs w:val="20"/>
    </w:rPr>
  </w:style>
  <w:style w:type="character" w:customStyle="1" w:styleId="91">
    <w:name w:val="文档结构图 Char"/>
    <w:basedOn w:val="61"/>
    <w:link w:val="22"/>
    <w:semiHidden/>
    <w:qFormat/>
    <w:uiPriority w:val="0"/>
    <w:rPr>
      <w:rFonts w:ascii="Times New Roman" w:hAnsi="Times New Roman" w:eastAsia="宋体" w:cs="Times New Roman"/>
      <w:kern w:val="0"/>
      <w:sz w:val="20"/>
      <w:szCs w:val="24"/>
      <w:shd w:val="clear" w:color="auto" w:fill="000080"/>
    </w:rPr>
  </w:style>
  <w:style w:type="character" w:customStyle="1" w:styleId="92">
    <w:name w:val="纯文本 Char"/>
    <w:basedOn w:val="61"/>
    <w:link w:val="33"/>
    <w:semiHidden/>
    <w:qFormat/>
    <w:uiPriority w:val="0"/>
    <w:rPr>
      <w:rFonts w:ascii="宋体" w:hAnsi="Courier New" w:eastAsia="宋体" w:cs="Times New Roman"/>
      <w:szCs w:val="20"/>
    </w:rPr>
  </w:style>
  <w:style w:type="character" w:customStyle="1" w:styleId="93">
    <w:name w:val="批注主题 Char"/>
    <w:basedOn w:val="77"/>
    <w:link w:val="58"/>
    <w:semiHidden/>
    <w:qFormat/>
    <w:uiPriority w:val="0"/>
    <w:rPr>
      <w:rFonts w:ascii="宋体" w:hAnsi="Times New Roman" w:eastAsia="宋体" w:cs="Times New Roman"/>
      <w:b/>
      <w:bCs/>
      <w:kern w:val="0"/>
      <w:sz w:val="28"/>
      <w:szCs w:val="20"/>
    </w:rPr>
  </w:style>
  <w:style w:type="character" w:customStyle="1" w:styleId="94">
    <w:name w:val="批注框文本 Char"/>
    <w:basedOn w:val="61"/>
    <w:link w:val="38"/>
    <w:semiHidden/>
    <w:qFormat/>
    <w:uiPriority w:val="0"/>
    <w:rPr>
      <w:rFonts w:ascii="宋体" w:hAnsi="Times New Roman" w:eastAsia="宋体" w:cs="Times New Roman"/>
      <w:kern w:val="0"/>
      <w:sz w:val="18"/>
      <w:szCs w:val="18"/>
    </w:rPr>
  </w:style>
  <w:style w:type="paragraph" w:styleId="95">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96">
    <w:name w:val="Revision"/>
    <w:semiHidden/>
    <w:qFormat/>
    <w:uiPriority w:val="0"/>
    <w:rPr>
      <w:rFonts w:ascii="Times New Roman" w:hAnsi="Times New Roman" w:eastAsia="宋体" w:cs="Times New Roman"/>
      <w:kern w:val="2"/>
      <w:sz w:val="21"/>
      <w:szCs w:val="24"/>
      <w:lang w:val="en-US" w:eastAsia="zh-CN" w:bidi="ar-SA"/>
    </w:rPr>
  </w:style>
  <w:style w:type="paragraph" w:styleId="97">
    <w:name w:val="List Paragraph"/>
    <w:basedOn w:val="1"/>
    <w:qFormat/>
    <w:uiPriority w:val="99"/>
    <w:pPr>
      <w:ind w:firstLine="420" w:firstLineChars="200"/>
    </w:pPr>
    <w:rPr>
      <w:rFonts w:ascii="Calibri" w:hAnsi="Calibri"/>
      <w:szCs w:val="22"/>
    </w:rPr>
  </w:style>
  <w:style w:type="paragraph" w:styleId="98">
    <w:name w:val="Quote"/>
    <w:basedOn w:val="1"/>
    <w:next w:val="1"/>
    <w:link w:val="99"/>
    <w:qFormat/>
    <w:uiPriority w:val="0"/>
    <w:rPr>
      <w:i/>
      <w:iCs/>
      <w:color w:val="000000"/>
      <w:szCs w:val="22"/>
    </w:rPr>
  </w:style>
  <w:style w:type="character" w:customStyle="1" w:styleId="99">
    <w:name w:val="引用 Char"/>
    <w:basedOn w:val="61"/>
    <w:link w:val="98"/>
    <w:autoRedefine/>
    <w:qFormat/>
    <w:uiPriority w:val="0"/>
    <w:rPr>
      <w:rFonts w:ascii="Times New Roman" w:hAnsi="Times New Roman" w:eastAsia="宋体" w:cs="Times New Roman"/>
      <w:i/>
      <w:iCs/>
      <w:color w:val="000000"/>
    </w:rPr>
  </w:style>
  <w:style w:type="paragraph" w:styleId="100">
    <w:name w:val="Intense Quote"/>
    <w:basedOn w:val="1"/>
    <w:next w:val="1"/>
    <w:link w:val="101"/>
    <w:autoRedefine/>
    <w:qFormat/>
    <w:uiPriority w:val="0"/>
    <w:pPr>
      <w:pBdr>
        <w:bottom w:val="single" w:color="4F81BD" w:sz="4" w:space="4"/>
      </w:pBdr>
      <w:spacing w:before="200" w:after="280"/>
      <w:ind w:left="936" w:right="936"/>
    </w:pPr>
    <w:rPr>
      <w:b/>
      <w:bCs/>
      <w:i/>
      <w:iCs/>
      <w:color w:val="4F81BD"/>
      <w:szCs w:val="22"/>
    </w:rPr>
  </w:style>
  <w:style w:type="character" w:customStyle="1" w:styleId="101">
    <w:name w:val="明显引用 Char"/>
    <w:basedOn w:val="61"/>
    <w:link w:val="100"/>
    <w:autoRedefine/>
    <w:qFormat/>
    <w:uiPriority w:val="0"/>
    <w:rPr>
      <w:rFonts w:ascii="Times New Roman" w:hAnsi="Times New Roman" w:eastAsia="宋体" w:cs="Times New Roman"/>
      <w:b/>
      <w:bCs/>
      <w:i/>
      <w:iCs/>
      <w:color w:val="4F81BD"/>
    </w:rPr>
  </w:style>
  <w:style w:type="paragraph" w:customStyle="1" w:styleId="102">
    <w:name w:val="TOC Heading"/>
    <w:basedOn w:val="4"/>
    <w:next w:val="1"/>
    <w:autoRedefine/>
    <w:semiHidden/>
    <w:unhideWhenUsed/>
    <w:qFormat/>
    <w:uiPriority w:val="0"/>
    <w:pPr>
      <w:keepLines/>
      <w:widowControl w:val="0"/>
      <w:tabs>
        <w:tab w:val="clear" w:pos="432"/>
      </w:tabs>
      <w:spacing w:before="340" w:after="330" w:line="576" w:lineRule="auto"/>
      <w:ind w:left="0" w:firstLine="0"/>
      <w:jc w:val="both"/>
      <w:outlineLvl w:val="9"/>
    </w:pPr>
    <w:rPr>
      <w:rFonts w:ascii="Calibri" w:hAnsi="Calibri" w:eastAsia="宋体" w:cs="Times New Roman"/>
      <w:b/>
      <w:bCs/>
      <w:kern w:val="44"/>
      <w:sz w:val="44"/>
      <w:szCs w:val="44"/>
    </w:rPr>
  </w:style>
  <w:style w:type="paragraph" w:customStyle="1" w:styleId="103">
    <w:name w:val="Char Char Char1 Char"/>
    <w:basedOn w:val="22"/>
    <w:next w:val="1"/>
    <w:autoRedefine/>
    <w:qFormat/>
    <w:uiPriority w:val="0"/>
    <w:pPr>
      <w:adjustRightInd w:val="0"/>
      <w:spacing w:line="436" w:lineRule="exact"/>
      <w:ind w:left="357"/>
      <w:jc w:val="left"/>
      <w:outlineLvl w:val="3"/>
    </w:pPr>
    <w:rPr>
      <w:kern w:val="2"/>
      <w:sz w:val="21"/>
    </w:rPr>
  </w:style>
  <w:style w:type="paragraph" w:customStyle="1" w:styleId="104">
    <w:name w:val="正文文字缩进2.1"/>
    <w:basedOn w:val="36"/>
    <w:autoRedefine/>
    <w:qFormat/>
    <w:uiPriority w:val="0"/>
    <w:pPr>
      <w:widowControl w:val="0"/>
      <w:tabs>
        <w:tab w:val="left" w:pos="420"/>
      </w:tabs>
      <w:overflowPunct/>
      <w:autoSpaceDE/>
      <w:autoSpaceDN/>
      <w:adjustRightInd/>
      <w:ind w:left="200" w:leftChars="200" w:firstLine="480" w:firstLineChars="200"/>
    </w:pPr>
    <w:rPr>
      <w:rFonts w:hAnsi="Times New Roman"/>
      <w:spacing w:val="0"/>
      <w:kern w:val="2"/>
    </w:rPr>
  </w:style>
  <w:style w:type="character" w:customStyle="1" w:styleId="105">
    <w:name w:val="样式1 Char Char"/>
    <w:link w:val="106"/>
    <w:autoRedefine/>
    <w:qFormat/>
    <w:locked/>
    <w:uiPriority w:val="0"/>
    <w:rPr>
      <w:rFonts w:ascii="宋体" w:hAnsi="宋体" w:eastAsia="宋体"/>
      <w:b/>
      <w:sz w:val="24"/>
    </w:rPr>
  </w:style>
  <w:style w:type="paragraph" w:customStyle="1" w:styleId="106">
    <w:name w:val="样式1"/>
    <w:basedOn w:val="1"/>
    <w:link w:val="105"/>
    <w:qFormat/>
    <w:uiPriority w:val="0"/>
    <w:pPr>
      <w:spacing w:before="120" w:after="120" w:line="300" w:lineRule="auto"/>
    </w:pPr>
    <w:rPr>
      <w:rFonts w:ascii="宋体" w:hAnsi="宋体" w:cstheme="minorBidi"/>
      <w:b/>
      <w:sz w:val="24"/>
      <w:szCs w:val="22"/>
    </w:rPr>
  </w:style>
  <w:style w:type="paragraph" w:customStyle="1" w:styleId="10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08">
    <w:name w:val="Normal_0"/>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character" w:customStyle="1" w:styleId="109">
    <w:name w:val="标题5 Char Char"/>
    <w:link w:val="110"/>
    <w:qFormat/>
    <w:locked/>
    <w:uiPriority w:val="0"/>
    <w:rPr>
      <w:rFonts w:ascii="Arial" w:hAnsi="Arial" w:cs="Arial"/>
      <w:b/>
      <w:bCs/>
      <w:sz w:val="24"/>
      <w:szCs w:val="32"/>
    </w:rPr>
  </w:style>
  <w:style w:type="paragraph" w:customStyle="1" w:styleId="110">
    <w:name w:val="标题5"/>
    <w:basedOn w:val="10"/>
    <w:link w:val="109"/>
    <w:qFormat/>
    <w:uiPriority w:val="0"/>
    <w:rPr>
      <w:rFonts w:ascii="Arial" w:hAnsi="Arial" w:cs="Arial" w:eastAsiaTheme="minorEastAsia"/>
      <w:sz w:val="24"/>
    </w:rPr>
  </w:style>
  <w:style w:type="paragraph" w:customStyle="1" w:styleId="111">
    <w:name w:val="样式 标题 3 + (中文) 黑体 小四 非加粗 段前: 7.8 磅 段后: 0 磅 行距: 固定值 20 磅"/>
    <w:basedOn w:val="10"/>
    <w:qFormat/>
    <w:uiPriority w:val="0"/>
    <w:pPr>
      <w:spacing w:before="0" w:after="0" w:line="400" w:lineRule="exact"/>
    </w:pPr>
    <w:rPr>
      <w:rFonts w:eastAsia="黑体" w:cs="宋体"/>
      <w:b w:val="0"/>
      <w:bCs w:val="0"/>
      <w:sz w:val="24"/>
      <w:szCs w:val="20"/>
    </w:rPr>
  </w:style>
  <w:style w:type="paragraph" w:customStyle="1" w:styleId="112">
    <w:name w:val="3"/>
    <w:basedOn w:val="1"/>
    <w:next w:val="24"/>
    <w:qFormat/>
    <w:uiPriority w:val="0"/>
    <w:rPr>
      <w:rFonts w:ascii="宋体"/>
      <w:sz w:val="24"/>
      <w:szCs w:val="20"/>
    </w:rPr>
  </w:style>
  <w:style w:type="paragraph" w:customStyle="1" w:styleId="113">
    <w:name w:val="小节标题"/>
    <w:basedOn w:val="1"/>
    <w:next w:val="1"/>
    <w:qFormat/>
    <w:uiPriority w:val="0"/>
    <w:pPr>
      <w:widowControl/>
      <w:spacing w:before="175" w:after="102" w:line="997" w:lineRule="atLeast"/>
    </w:pPr>
    <w:rPr>
      <w:rFonts w:eastAsia="黑体"/>
      <w:color w:val="000000"/>
      <w:kern w:val="0"/>
      <w:sz w:val="18"/>
      <w:szCs w:val="20"/>
      <w:u w:color="000000"/>
    </w:rPr>
  </w:style>
  <w:style w:type="paragraph" w:customStyle="1" w:styleId="114">
    <w:name w:val="菲页1"/>
    <w:basedOn w:val="5"/>
    <w:qFormat/>
    <w:uiPriority w:val="0"/>
    <w:pPr>
      <w:widowControl/>
      <w:tabs>
        <w:tab w:val="center" w:pos="4677"/>
      </w:tabs>
      <w:jc w:val="center"/>
    </w:pPr>
    <w:rPr>
      <w:rFonts w:ascii="黑体" w:hAnsi="宋体" w:eastAsia="仿宋_GB2312"/>
      <w:b w:val="0"/>
      <w:bCs w:val="0"/>
      <w:color w:val="000000"/>
      <w:kern w:val="0"/>
      <w:sz w:val="52"/>
    </w:rPr>
  </w:style>
  <w:style w:type="character" w:customStyle="1" w:styleId="115">
    <w:name w:val="标题4 Char Char"/>
    <w:link w:val="116"/>
    <w:qFormat/>
    <w:locked/>
    <w:uiPriority w:val="0"/>
    <w:rPr>
      <w:rFonts w:ascii="Arial" w:hAnsi="Arial" w:cs="Arial"/>
      <w:b/>
      <w:bCs/>
      <w:sz w:val="24"/>
      <w:szCs w:val="32"/>
    </w:rPr>
  </w:style>
  <w:style w:type="paragraph" w:customStyle="1" w:styleId="116">
    <w:name w:val="标题4"/>
    <w:basedOn w:val="5"/>
    <w:next w:val="30"/>
    <w:link w:val="115"/>
    <w:qFormat/>
    <w:uiPriority w:val="0"/>
    <w:rPr>
      <w:rFonts w:cs="Arial" w:eastAsiaTheme="minorEastAsia"/>
      <w:sz w:val="24"/>
    </w:rPr>
  </w:style>
  <w:style w:type="paragraph" w:customStyle="1" w:styleId="117">
    <w:name w:val="空半行"/>
    <w:basedOn w:val="1"/>
    <w:qFormat/>
    <w:uiPriority w:val="0"/>
    <w:pPr>
      <w:adjustRightInd w:val="0"/>
      <w:spacing w:line="120" w:lineRule="exact"/>
    </w:pPr>
    <w:rPr>
      <w:rFonts w:eastAsia="仿宋_GB2312"/>
      <w:color w:val="FFFFFF"/>
      <w:kern w:val="0"/>
      <w:sz w:val="30"/>
      <w:szCs w:val="20"/>
    </w:rPr>
  </w:style>
  <w:style w:type="paragraph" w:customStyle="1" w:styleId="118">
    <w:name w:val="Char Char Char Char"/>
    <w:basedOn w:val="1"/>
    <w:qFormat/>
    <w:uiPriority w:val="0"/>
  </w:style>
  <w:style w:type="paragraph" w:customStyle="1" w:styleId="119">
    <w:name w:val="文章总标题"/>
    <w:basedOn w:val="1"/>
    <w:next w:val="1"/>
    <w:qFormat/>
    <w:uiPriority w:val="0"/>
    <w:pPr>
      <w:widowControl/>
      <w:spacing w:before="566" w:after="544" w:line="566" w:lineRule="atLeast"/>
      <w:jc w:val="center"/>
    </w:pPr>
    <w:rPr>
      <w:rFonts w:ascii="Arial" w:eastAsia="黑体"/>
      <w:color w:val="000000"/>
      <w:kern w:val="0"/>
      <w:sz w:val="54"/>
      <w:szCs w:val="20"/>
      <w:u w:color="000000"/>
    </w:rPr>
  </w:style>
  <w:style w:type="paragraph" w:customStyle="1" w:styleId="120">
    <w:name w:val="目录文字"/>
    <w:basedOn w:val="1"/>
    <w:qFormat/>
    <w:uiPriority w:val="0"/>
    <w:pPr>
      <w:widowControl/>
      <w:spacing w:line="480" w:lineRule="auto"/>
      <w:jc w:val="left"/>
    </w:pPr>
    <w:rPr>
      <w:rFonts w:ascii="宋体" w:hAnsi="宋体"/>
      <w:kern w:val="0"/>
      <w:sz w:val="24"/>
      <w:szCs w:val="20"/>
    </w:rPr>
  </w:style>
  <w:style w:type="paragraph" w:customStyle="1" w:styleId="121">
    <w:name w:val="菲页2"/>
    <w:basedOn w:val="10"/>
    <w:qFormat/>
    <w:uiPriority w:val="0"/>
    <w:pPr>
      <w:widowControl/>
      <w:tabs>
        <w:tab w:val="left" w:pos="720"/>
      </w:tabs>
      <w:spacing w:before="120" w:after="120" w:line="360" w:lineRule="auto"/>
      <w:ind w:left="720" w:hanging="720"/>
      <w:jc w:val="center"/>
    </w:pPr>
    <w:rPr>
      <w:rFonts w:ascii="黑体" w:hAnsi="宋体" w:eastAsia="黑体"/>
      <w:b w:val="0"/>
      <w:bCs w:val="0"/>
      <w:kern w:val="0"/>
      <w:sz w:val="44"/>
      <w:szCs w:val="20"/>
    </w:rPr>
  </w:style>
  <w:style w:type="paragraph" w:customStyle="1" w:styleId="122">
    <w:name w:val="菲页(卷)"/>
    <w:basedOn w:val="4"/>
    <w:next w:val="108"/>
    <w:qFormat/>
    <w:uiPriority w:val="0"/>
    <w:pPr>
      <w:outlineLvl w:val="1"/>
    </w:pPr>
    <w:rPr>
      <w:rFonts w:hAnsi="Times New Roman" w:cs="Times New Roman"/>
    </w:rPr>
  </w:style>
  <w:style w:type="paragraph" w:customStyle="1" w:styleId="123">
    <w:name w:val="Char"/>
    <w:basedOn w:val="1"/>
    <w:qFormat/>
    <w:uiPriority w:val="0"/>
    <w:pPr>
      <w:spacing w:beforeLines="100"/>
    </w:pPr>
    <w:rPr>
      <w:color w:val="000000"/>
      <w:kern w:val="0"/>
      <w:sz w:val="18"/>
      <w:szCs w:val="18"/>
      <w:u w:color="000000"/>
    </w:rPr>
  </w:style>
  <w:style w:type="paragraph" w:customStyle="1" w:styleId="12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25">
    <w:name w:val="目录"/>
    <w:basedOn w:val="1"/>
    <w:qFormat/>
    <w:uiPriority w:val="0"/>
    <w:pPr>
      <w:widowControl/>
      <w:jc w:val="center"/>
    </w:pPr>
    <w:rPr>
      <w:rFonts w:ascii="宋体"/>
      <w:b/>
      <w:kern w:val="0"/>
      <w:sz w:val="36"/>
      <w:szCs w:val="20"/>
    </w:rPr>
  </w:style>
  <w:style w:type="paragraph" w:customStyle="1" w:styleId="126">
    <w:name w:val="flNote"/>
    <w:basedOn w:val="1"/>
    <w:qFormat/>
    <w:uiPriority w:val="0"/>
    <w:pPr>
      <w:adjustRightInd w:val="0"/>
      <w:spacing w:before="320" w:after="160" w:line="360" w:lineRule="atLeast"/>
      <w:jc w:val="center"/>
    </w:pPr>
    <w:rPr>
      <w:rFonts w:ascii="Arial" w:eastAsia="黑体"/>
      <w:kern w:val="0"/>
      <w:sz w:val="30"/>
      <w:szCs w:val="20"/>
    </w:rPr>
  </w:style>
  <w:style w:type="paragraph" w:customStyle="1" w:styleId="127">
    <w:name w:val="Char Char Char"/>
    <w:basedOn w:val="1"/>
    <w:qFormat/>
    <w:uiPriority w:val="0"/>
    <w:rPr>
      <w:rFonts w:ascii="Tahoma" w:hAnsi="Tahoma"/>
      <w:sz w:val="24"/>
      <w:szCs w:val="20"/>
    </w:rPr>
  </w:style>
  <w:style w:type="paragraph" w:customStyle="1" w:styleId="128">
    <w:name w:val="正文文字"/>
    <w:basedOn w:val="1"/>
    <w:qFormat/>
    <w:uiPriority w:val="0"/>
    <w:pPr>
      <w:widowControl/>
      <w:spacing w:line="1099" w:lineRule="atLeast"/>
      <w:ind w:firstLine="419"/>
    </w:pPr>
    <w:rPr>
      <w:color w:val="000000"/>
      <w:kern w:val="0"/>
      <w:sz w:val="24"/>
      <w:szCs w:val="20"/>
      <w:u w:color="000000"/>
    </w:rPr>
  </w:style>
  <w:style w:type="paragraph" w:customStyle="1" w:styleId="129">
    <w:name w:val="xl24"/>
    <w:basedOn w:val="1"/>
    <w:qFormat/>
    <w:uiPriority w:val="0"/>
    <w:pPr>
      <w:widowControl/>
      <w:spacing w:before="100" w:beforeAutospacing="1" w:after="100" w:afterAutospacing="1"/>
      <w:jc w:val="center"/>
    </w:pPr>
    <w:rPr>
      <w:rFonts w:ascii="宋体" w:hAnsi="宋体"/>
      <w:color w:val="000000"/>
      <w:kern w:val="0"/>
      <w:sz w:val="24"/>
      <w:szCs w:val="18"/>
      <w:u w:color="000000"/>
    </w:rPr>
  </w:style>
  <w:style w:type="paragraph" w:customStyle="1" w:styleId="130">
    <w:name w:val="默认段落字体 Para Char"/>
    <w:basedOn w:val="1"/>
    <w:qFormat/>
    <w:uiPriority w:val="0"/>
    <w:pPr>
      <w:adjustRightInd w:val="0"/>
      <w:spacing w:line="360" w:lineRule="auto"/>
    </w:pPr>
    <w:rPr>
      <w:color w:val="000000"/>
      <w:kern w:val="0"/>
      <w:sz w:val="24"/>
      <w:szCs w:val="20"/>
      <w:u w:color="000000"/>
    </w:rPr>
  </w:style>
  <w:style w:type="paragraph" w:customStyle="1" w:styleId="131">
    <w:name w:val="Char1"/>
    <w:basedOn w:val="1"/>
    <w:qFormat/>
    <w:uiPriority w:val="0"/>
    <w:pPr>
      <w:widowControl/>
      <w:spacing w:after="160" w:line="240" w:lineRule="exact"/>
      <w:jc w:val="center"/>
    </w:pPr>
    <w:rPr>
      <w:rFonts w:ascii="宋体" w:hAnsi="宋体"/>
      <w:bCs/>
      <w:color w:val="000000"/>
      <w:kern w:val="0"/>
      <w:sz w:val="18"/>
      <w:szCs w:val="21"/>
      <w:u w:color="000000"/>
    </w:rPr>
  </w:style>
  <w:style w:type="paragraph" w:customStyle="1" w:styleId="132">
    <w:name w:val="Char Char Char Char Char Char Char Char Char Char Char Char Char Char Char Char Char Char1 Char Char Char Char Char Char Char Char Char Char Char Char Char Char Char Char"/>
    <w:basedOn w:val="1"/>
    <w:next w:val="1"/>
    <w:qFormat/>
    <w:uiPriority w:val="0"/>
    <w:pPr>
      <w:snapToGrid w:val="0"/>
      <w:spacing w:line="360" w:lineRule="auto"/>
      <w:ind w:firstLine="200" w:firstLineChars="200"/>
    </w:pPr>
    <w:rPr>
      <w:rFonts w:ascii="宋体" w:hAnsi="宋体" w:cs="宋体"/>
      <w:color w:val="000000"/>
      <w:kern w:val="0"/>
      <w:sz w:val="24"/>
      <w:szCs w:val="18"/>
      <w:u w:color="000000"/>
    </w:rPr>
  </w:style>
  <w:style w:type="paragraph" w:customStyle="1" w:styleId="133">
    <w:name w:val="简单回函地址"/>
    <w:basedOn w:val="1"/>
    <w:qFormat/>
    <w:uiPriority w:val="0"/>
    <w:pPr>
      <w:adjustRightInd w:val="0"/>
      <w:spacing w:line="300" w:lineRule="auto"/>
    </w:pPr>
    <w:rPr>
      <w:rFonts w:ascii="仿宋_GB2312" w:eastAsia="仿宋_GB2312"/>
      <w:color w:val="000000"/>
      <w:kern w:val="0"/>
      <w:sz w:val="28"/>
      <w:szCs w:val="20"/>
      <w:u w:color="000000"/>
    </w:rPr>
  </w:style>
  <w:style w:type="paragraph" w:customStyle="1" w:styleId="134">
    <w:name w:val="Char Char Char Char Char Char1 Char"/>
    <w:basedOn w:val="1"/>
    <w:qFormat/>
    <w:uiPriority w:val="0"/>
    <w:pPr>
      <w:widowControl/>
      <w:spacing w:after="160" w:line="240" w:lineRule="exact"/>
      <w:jc w:val="left"/>
    </w:pPr>
    <w:rPr>
      <w:rFonts w:ascii="Arial" w:hAnsi="Arial" w:eastAsia="Times New Roman" w:cs="Verdana"/>
      <w:b/>
      <w:color w:val="000000"/>
      <w:kern w:val="0"/>
      <w:sz w:val="18"/>
      <w:szCs w:val="20"/>
      <w:u w:color="000000"/>
      <w:lang w:eastAsia="en-US"/>
    </w:rPr>
  </w:style>
  <w:style w:type="paragraph" w:customStyle="1" w:styleId="135">
    <w:name w:val="Char Char Char Char Char Char Char"/>
    <w:basedOn w:val="1"/>
    <w:qFormat/>
    <w:uiPriority w:val="0"/>
    <w:pPr>
      <w:widowControl/>
      <w:spacing w:after="160" w:line="240" w:lineRule="exact"/>
      <w:jc w:val="left"/>
    </w:pPr>
    <w:rPr>
      <w:color w:val="000000"/>
      <w:kern w:val="0"/>
      <w:sz w:val="18"/>
      <w:szCs w:val="18"/>
      <w:u w:color="000000"/>
    </w:rPr>
  </w:style>
  <w:style w:type="character" w:customStyle="1" w:styleId="136">
    <w:name w:val="段 Char Char"/>
    <w:link w:val="9"/>
    <w:qFormat/>
    <w:locked/>
    <w:uiPriority w:val="0"/>
    <w:rPr>
      <w:rFonts w:ascii="宋体" w:hAnsi="宋体" w:eastAsia="宋体"/>
    </w:rPr>
  </w:style>
  <w:style w:type="character" w:customStyle="1" w:styleId="137">
    <w:name w:val="无间隔 Char"/>
    <w:link w:val="138"/>
    <w:qFormat/>
    <w:locked/>
    <w:uiPriority w:val="0"/>
    <w:rPr>
      <w:rFonts w:ascii="Calibri" w:hAnsi="Calibri" w:cs="Calibri"/>
      <w:sz w:val="22"/>
    </w:rPr>
  </w:style>
  <w:style w:type="paragraph" w:customStyle="1" w:styleId="138">
    <w:name w:val="无间隔1"/>
    <w:link w:val="137"/>
    <w:qFormat/>
    <w:uiPriority w:val="0"/>
    <w:rPr>
      <w:rFonts w:ascii="Calibri" w:hAnsi="Calibri" w:cs="Calibri" w:eastAsiaTheme="minorEastAsia"/>
      <w:kern w:val="2"/>
      <w:sz w:val="22"/>
      <w:szCs w:val="22"/>
      <w:lang w:val="en-US" w:eastAsia="zh-CN" w:bidi="ar-SA"/>
    </w:rPr>
  </w:style>
  <w:style w:type="character" w:customStyle="1" w:styleId="139">
    <w:name w:val="文档正文 Char"/>
    <w:link w:val="140"/>
    <w:qFormat/>
    <w:locked/>
    <w:uiPriority w:val="0"/>
    <w:rPr>
      <w:rFonts w:ascii="仿宋_GB2312" w:eastAsia="仿宋_GB2312"/>
      <w:sz w:val="28"/>
    </w:rPr>
  </w:style>
  <w:style w:type="paragraph" w:customStyle="1" w:styleId="140">
    <w:name w:val="文档正文"/>
    <w:basedOn w:val="1"/>
    <w:link w:val="139"/>
    <w:qFormat/>
    <w:uiPriority w:val="0"/>
    <w:pPr>
      <w:adjustRightInd w:val="0"/>
      <w:spacing w:line="480" w:lineRule="atLeast"/>
      <w:ind w:firstLine="567"/>
    </w:pPr>
    <w:rPr>
      <w:rFonts w:ascii="仿宋_GB2312" w:eastAsia="仿宋_GB2312" w:hAnsiTheme="minorHAnsi" w:cstheme="minorBidi"/>
      <w:sz w:val="28"/>
      <w:szCs w:val="22"/>
    </w:rPr>
  </w:style>
  <w:style w:type="character" w:customStyle="1" w:styleId="141">
    <w:name w:val="Default Char"/>
    <w:link w:val="142"/>
    <w:qFormat/>
    <w:locked/>
    <w:uiPriority w:val="0"/>
    <w:rPr>
      <w:rFonts w:ascii="宋体" w:hAnsi="宋体" w:eastAsia="宋体" w:cs="宋体"/>
      <w:color w:val="000000"/>
      <w:sz w:val="24"/>
      <w:szCs w:val="24"/>
    </w:rPr>
  </w:style>
  <w:style w:type="paragraph" w:customStyle="1" w:styleId="142">
    <w:name w:val="Default"/>
    <w:link w:val="141"/>
    <w:qFormat/>
    <w:uiPriority w:val="0"/>
    <w:pPr>
      <w:widowControl w:val="0"/>
      <w:autoSpaceDE w:val="0"/>
      <w:autoSpaceDN w:val="0"/>
      <w:adjustRightInd w:val="0"/>
    </w:pPr>
    <w:rPr>
      <w:rFonts w:ascii="宋体" w:hAnsi="宋体" w:eastAsia="宋体" w:cs="宋体"/>
      <w:color w:val="000000"/>
      <w:kern w:val="2"/>
      <w:sz w:val="24"/>
      <w:szCs w:val="24"/>
      <w:lang w:val="en-US" w:eastAsia="zh-CN" w:bidi="ar-SA"/>
    </w:rPr>
  </w:style>
  <w:style w:type="paragraph" w:customStyle="1" w:styleId="143">
    <w:name w:val="标书正文"/>
    <w:basedOn w:val="1"/>
    <w:qFormat/>
    <w:uiPriority w:val="0"/>
    <w:pPr>
      <w:tabs>
        <w:tab w:val="left" w:pos="600"/>
      </w:tabs>
      <w:snapToGrid w:val="0"/>
      <w:spacing w:line="480" w:lineRule="atLeast"/>
      <w:ind w:firstLine="480" w:firstLineChars="200"/>
    </w:pPr>
    <w:rPr>
      <w:color w:val="000000"/>
      <w:kern w:val="0"/>
      <w:sz w:val="24"/>
      <w:szCs w:val="18"/>
      <w:u w:color="000000"/>
    </w:rPr>
  </w:style>
  <w:style w:type="character" w:customStyle="1" w:styleId="144">
    <w:name w:val="Style 正文（首行缩进）2 + First line:  2 ch Char"/>
    <w:link w:val="145"/>
    <w:qFormat/>
    <w:locked/>
    <w:uiPriority w:val="0"/>
    <w:rPr>
      <w:rFonts w:ascii="Arial" w:hAnsi="Arial" w:cs="Arial"/>
      <w:sz w:val="24"/>
    </w:rPr>
  </w:style>
  <w:style w:type="paragraph" w:customStyle="1" w:styleId="145">
    <w:name w:val="Style 正文（首行缩进）2 + First line:  2 ch"/>
    <w:basedOn w:val="1"/>
    <w:link w:val="144"/>
    <w:qFormat/>
    <w:uiPriority w:val="0"/>
    <w:pPr>
      <w:widowControl/>
      <w:spacing w:before="100" w:beforeAutospacing="1" w:after="100" w:afterAutospacing="1" w:line="300" w:lineRule="auto"/>
      <w:ind w:firstLine="480" w:firstLineChars="200"/>
      <w:jc w:val="left"/>
    </w:pPr>
    <w:rPr>
      <w:rFonts w:ascii="Arial" w:hAnsi="Arial" w:cs="Arial" w:eastAsiaTheme="minorEastAsia"/>
      <w:sz w:val="24"/>
      <w:szCs w:val="22"/>
    </w:rPr>
  </w:style>
  <w:style w:type="paragraph" w:customStyle="1" w:styleId="146">
    <w:name w:val="列表段落1"/>
    <w:basedOn w:val="1"/>
    <w:qFormat/>
    <w:uiPriority w:val="0"/>
    <w:pPr>
      <w:ind w:firstLine="420" w:firstLineChars="200"/>
    </w:pPr>
    <w:rPr>
      <w:color w:val="000000"/>
      <w:kern w:val="0"/>
      <w:sz w:val="28"/>
      <w:szCs w:val="20"/>
      <w:u w:color="000000"/>
    </w:rPr>
  </w:style>
  <w:style w:type="paragraph" w:customStyle="1" w:styleId="147">
    <w:name w:val="正文内容"/>
    <w:basedOn w:val="1"/>
    <w:qFormat/>
    <w:uiPriority w:val="0"/>
    <w:pPr>
      <w:adjustRightInd w:val="0"/>
      <w:snapToGrid w:val="0"/>
      <w:spacing w:line="360" w:lineRule="auto"/>
      <w:ind w:firstLine="200" w:firstLineChars="200"/>
    </w:pPr>
    <w:rPr>
      <w:rFonts w:ascii="仿宋_GB2312" w:eastAsia="仿宋_GB2312"/>
      <w:color w:val="000000"/>
      <w:kern w:val="0"/>
      <w:sz w:val="24"/>
      <w:szCs w:val="20"/>
      <w:u w:color="000000"/>
    </w:rPr>
  </w:style>
  <w:style w:type="paragraph" w:customStyle="1" w:styleId="148">
    <w:name w:val="Table Heading"/>
    <w:basedOn w:val="1"/>
    <w:qFormat/>
    <w:uiPriority w:val="0"/>
    <w:pPr>
      <w:keepNext/>
      <w:snapToGrid w:val="0"/>
      <w:spacing w:before="80" w:after="80"/>
    </w:pPr>
    <w:rPr>
      <w:rFonts w:ascii="Book Antiqua" w:hAnsi="Book Antiqua" w:eastAsia="黑体" w:cs="Book Antiqua"/>
      <w:bCs/>
      <w:color w:val="000000"/>
      <w:kern w:val="0"/>
      <w:sz w:val="18"/>
      <w:szCs w:val="21"/>
      <w:u w:color="000000"/>
    </w:rPr>
  </w:style>
  <w:style w:type="paragraph" w:customStyle="1" w:styleId="149">
    <w:name w:val="Char Char1 Char Char Char"/>
    <w:basedOn w:val="1"/>
    <w:qFormat/>
    <w:uiPriority w:val="0"/>
    <w:rPr>
      <w:color w:val="000000"/>
      <w:kern w:val="0"/>
      <w:sz w:val="20"/>
      <w:szCs w:val="20"/>
      <w:u w:color="000000"/>
    </w:rPr>
  </w:style>
  <w:style w:type="paragraph" w:customStyle="1" w:styleId="150">
    <w:name w:val="标题6"/>
    <w:basedOn w:val="1"/>
    <w:next w:val="1"/>
    <w:qFormat/>
    <w:uiPriority w:val="0"/>
    <w:pPr>
      <w:spacing w:line="360" w:lineRule="auto"/>
    </w:pPr>
    <w:rPr>
      <w:b/>
      <w:color w:val="000000"/>
      <w:kern w:val="0"/>
      <w:sz w:val="24"/>
      <w:szCs w:val="21"/>
      <w:u w:color="000000"/>
    </w:rPr>
  </w:style>
  <w:style w:type="paragraph" w:customStyle="1" w:styleId="151">
    <w:name w:val="D1"/>
    <w:basedOn w:val="1"/>
    <w:qFormat/>
    <w:uiPriority w:val="0"/>
    <w:pPr>
      <w:spacing w:line="480" w:lineRule="auto"/>
    </w:pPr>
    <w:rPr>
      <w:rFonts w:ascii="EU-F1" w:hAnsi="Courier New" w:eastAsia="黑体"/>
      <w:color w:val="000000"/>
      <w:kern w:val="0"/>
      <w:sz w:val="18"/>
      <w:szCs w:val="20"/>
      <w:u w:color="000000"/>
    </w:rPr>
  </w:style>
  <w:style w:type="character" w:customStyle="1" w:styleId="152">
    <w:name w:val="B Char Char"/>
    <w:link w:val="153"/>
    <w:qFormat/>
    <w:locked/>
    <w:uiPriority w:val="0"/>
    <w:rPr>
      <w:rFonts w:ascii="E-F1" w:eastAsia="黑体"/>
    </w:rPr>
  </w:style>
  <w:style w:type="paragraph" w:customStyle="1" w:styleId="153">
    <w:name w:val="B"/>
    <w:basedOn w:val="1"/>
    <w:link w:val="152"/>
    <w:qFormat/>
    <w:uiPriority w:val="0"/>
    <w:pPr>
      <w:tabs>
        <w:tab w:val="center" w:pos="4706"/>
        <w:tab w:val="right" w:pos="9044"/>
      </w:tabs>
      <w:topLinePunct/>
      <w:spacing w:before="160" w:after="60" w:line="312" w:lineRule="exact"/>
      <w:jc w:val="center"/>
    </w:pPr>
    <w:rPr>
      <w:rFonts w:ascii="E-F1" w:eastAsia="黑体" w:hAnsiTheme="minorHAnsi" w:cstheme="minorBidi"/>
      <w:szCs w:val="22"/>
    </w:rPr>
  </w:style>
  <w:style w:type="paragraph" w:customStyle="1" w:styleId="154">
    <w:name w:val="List Paragraph1"/>
    <w:basedOn w:val="1"/>
    <w:qFormat/>
    <w:uiPriority w:val="0"/>
    <w:pPr>
      <w:ind w:firstLine="420" w:firstLineChars="200"/>
    </w:pPr>
    <w:rPr>
      <w:color w:val="000000"/>
      <w:kern w:val="0"/>
      <w:sz w:val="18"/>
      <w:szCs w:val="18"/>
      <w:u w:color="000000"/>
    </w:rPr>
  </w:style>
  <w:style w:type="paragraph" w:customStyle="1" w:styleId="155">
    <w:name w:val="样式 标题 1 + 四号 居中 段前: 12 磅 段后: 12 磅 行距: 单倍行距"/>
    <w:basedOn w:val="4"/>
    <w:qFormat/>
    <w:uiPriority w:val="0"/>
    <w:pPr>
      <w:keepLines/>
      <w:widowControl w:val="0"/>
      <w:tabs>
        <w:tab w:val="clear" w:pos="432"/>
      </w:tabs>
      <w:adjustRightInd w:val="0"/>
      <w:spacing w:before="240" w:after="240"/>
      <w:ind w:left="252" w:firstLine="288"/>
    </w:pPr>
    <w:rPr>
      <w:rFonts w:ascii="Times New Roman" w:hAnsi="Times New Roman" w:eastAsia="宋体"/>
      <w:b/>
      <w:bCs/>
      <w:kern w:val="44"/>
      <w:sz w:val="28"/>
    </w:rPr>
  </w:style>
  <w:style w:type="paragraph" w:customStyle="1" w:styleId="156">
    <w:name w:val="样式 标题 4 + 段前: 5 磅 段后: 5 磅 行距: 单倍行距"/>
    <w:basedOn w:val="11"/>
    <w:qFormat/>
    <w:uiPriority w:val="0"/>
    <w:pPr>
      <w:widowControl w:val="0"/>
      <w:numPr>
        <w:ilvl w:val="3"/>
        <w:numId w:val="1"/>
      </w:numPr>
      <w:adjustRightInd w:val="0"/>
      <w:spacing w:before="100" w:after="100" w:line="240" w:lineRule="auto"/>
      <w:jc w:val="left"/>
    </w:pPr>
    <w:rPr>
      <w:rFonts w:cs="宋体"/>
      <w:b/>
      <w:bCs/>
    </w:rPr>
  </w:style>
  <w:style w:type="paragraph" w:customStyle="1" w:styleId="157">
    <w:name w:val="普通(网站)1"/>
    <w:qFormat/>
    <w:uiPriority w:val="99"/>
    <w:pPr>
      <w:spacing w:before="100" w:beforeAutospacing="1" w:after="100" w:afterAutospacing="1"/>
    </w:pPr>
    <w:rPr>
      <w:rFonts w:ascii="Times New Roman" w:hAnsi="Times New Roman" w:eastAsia="宋体" w:cs="Times New Roman"/>
      <w:kern w:val="0"/>
      <w:sz w:val="24"/>
      <w:szCs w:val="20"/>
      <w:lang w:val="en-US" w:eastAsia="zh-CN" w:bidi="ar-SA"/>
    </w:rPr>
  </w:style>
  <w:style w:type="character" w:customStyle="1" w:styleId="158">
    <w:name w:val="Subtle Emphasis"/>
    <w:qFormat/>
    <w:uiPriority w:val="0"/>
    <w:rPr>
      <w:i/>
      <w:iCs/>
      <w:color w:val="808080"/>
    </w:rPr>
  </w:style>
  <w:style w:type="character" w:customStyle="1" w:styleId="159">
    <w:name w:val="Intense Emphasis"/>
    <w:qFormat/>
    <w:uiPriority w:val="0"/>
    <w:rPr>
      <w:b/>
      <w:bCs/>
      <w:i/>
      <w:iCs/>
      <w:color w:val="4F81BD"/>
    </w:rPr>
  </w:style>
  <w:style w:type="character" w:customStyle="1" w:styleId="160">
    <w:name w:val="Subtle Reference"/>
    <w:qFormat/>
    <w:uiPriority w:val="0"/>
    <w:rPr>
      <w:smallCaps/>
      <w:color w:val="C0504D"/>
      <w:u w:val="single"/>
    </w:rPr>
  </w:style>
  <w:style w:type="character" w:customStyle="1" w:styleId="161">
    <w:name w:val="Intense Reference"/>
    <w:qFormat/>
    <w:uiPriority w:val="0"/>
    <w:rPr>
      <w:b/>
      <w:bCs/>
      <w:smallCaps/>
      <w:color w:val="C0504D"/>
      <w:spacing w:val="5"/>
      <w:u w:val="single"/>
    </w:rPr>
  </w:style>
  <w:style w:type="character" w:customStyle="1" w:styleId="162">
    <w:name w:val="Book Title"/>
    <w:qFormat/>
    <w:uiPriority w:val="0"/>
    <w:rPr>
      <w:b/>
      <w:bCs/>
      <w:smallCaps/>
      <w:spacing w:val="5"/>
    </w:rPr>
  </w:style>
  <w:style w:type="character" w:customStyle="1" w:styleId="163">
    <w:name w:val="文档结构图 Char1"/>
    <w:qFormat/>
    <w:uiPriority w:val="0"/>
    <w:rPr>
      <w:rFonts w:hint="eastAsia" w:ascii="宋体" w:hAnsi="宋体" w:eastAsia="宋体"/>
      <w:kern w:val="2"/>
      <w:sz w:val="18"/>
      <w:szCs w:val="18"/>
    </w:rPr>
  </w:style>
  <w:style w:type="character" w:customStyle="1" w:styleId="164">
    <w:name w:val="段 Char"/>
    <w:qFormat/>
    <w:uiPriority w:val="0"/>
    <w:rPr>
      <w:rFonts w:hint="eastAsia" w:ascii="宋体" w:hAnsi="宋体" w:eastAsia="宋体"/>
      <w:sz w:val="21"/>
      <w:lang w:bidi="ar-SA"/>
    </w:rPr>
  </w:style>
  <w:style w:type="character" w:customStyle="1" w:styleId="165">
    <w:name w:val="style61"/>
    <w:qFormat/>
    <w:uiPriority w:val="0"/>
    <w:rPr>
      <w:b/>
      <w:bCs/>
      <w:sz w:val="54"/>
      <w:szCs w:val="54"/>
    </w:rPr>
  </w:style>
  <w:style w:type="character" w:customStyle="1" w:styleId="166">
    <w:name w:val="cyjg"/>
    <w:qFormat/>
    <w:uiPriority w:val="0"/>
  </w:style>
  <w:style w:type="character" w:customStyle="1" w:styleId="167">
    <w:name w:val="批注主题 Char1"/>
    <w:qFormat/>
    <w:uiPriority w:val="0"/>
    <w:rPr>
      <w:b/>
      <w:bCs/>
      <w:kern w:val="2"/>
      <w:sz w:val="21"/>
      <w:szCs w:val="22"/>
    </w:rPr>
  </w:style>
  <w:style w:type="character" w:customStyle="1" w:styleId="168">
    <w:name w:val="Para head"/>
    <w:qFormat/>
    <w:uiPriority w:val="0"/>
    <w:rPr>
      <w:rFonts w:hint="default" w:ascii="Arial" w:hAnsi="Arial" w:eastAsia="Times New Roman" w:cs="Arial"/>
      <w:sz w:val="20"/>
    </w:rPr>
  </w:style>
  <w:style w:type="character" w:customStyle="1" w:styleId="169">
    <w:name w:val="textcontents"/>
    <w:qFormat/>
    <w:uiPriority w:val="0"/>
    <w:rPr>
      <w:rFonts w:hint="default" w:ascii="Times New Roman" w:hAnsi="Times New Roman" w:cs="Times New Roman"/>
    </w:rPr>
  </w:style>
  <w:style w:type="character" w:customStyle="1" w:styleId="170">
    <w:name w:val="日期 Char1"/>
    <w:qFormat/>
    <w:uiPriority w:val="0"/>
    <w:rPr>
      <w:kern w:val="2"/>
      <w:sz w:val="21"/>
      <w:szCs w:val="22"/>
    </w:rPr>
  </w:style>
  <w:style w:type="character" w:customStyle="1" w:styleId="171">
    <w:name w:val="正文文本 Char1"/>
    <w:qFormat/>
    <w:uiPriority w:val="0"/>
    <w:rPr>
      <w:kern w:val="2"/>
      <w:sz w:val="21"/>
      <w:szCs w:val="22"/>
    </w:rPr>
  </w:style>
  <w:style w:type="character" w:customStyle="1" w:styleId="172">
    <w:name w:val="批注文字 Char Char"/>
    <w:qFormat/>
    <w:uiPriority w:val="0"/>
    <w:rPr>
      <w:rFonts w:hint="eastAsia" w:ascii="宋体" w:hAnsi="Times New Roman" w:eastAsia="宋体" w:cs="Times New Roman"/>
      <w:sz w:val="28"/>
      <w:szCs w:val="20"/>
    </w:rPr>
  </w:style>
  <w:style w:type="character" w:customStyle="1" w:styleId="173">
    <w:name w:val="批注框文本 Char1"/>
    <w:qFormat/>
    <w:uiPriority w:val="0"/>
    <w:rPr>
      <w:kern w:val="2"/>
      <w:sz w:val="18"/>
      <w:szCs w:val="18"/>
    </w:rPr>
  </w:style>
  <w:style w:type="character" w:customStyle="1" w:styleId="174">
    <w:name w:val="px_10"/>
    <w:qFormat/>
    <w:uiPriority w:val="0"/>
    <w:rPr>
      <w:rFonts w:hint="default" w:ascii="Tahoma" w:hAnsi="Tahoma" w:cs="Tahoma"/>
      <w:sz w:val="24"/>
      <w:szCs w:val="20"/>
    </w:rPr>
  </w:style>
  <w:style w:type="character" w:customStyle="1" w:styleId="175">
    <w:name w:val="正文文本缩进 Char"/>
    <w:qFormat/>
    <w:uiPriority w:val="0"/>
    <w:rPr>
      <w:kern w:val="2"/>
      <w:sz w:val="21"/>
      <w:szCs w:val="24"/>
    </w:rPr>
  </w:style>
  <w:style w:type="character" w:customStyle="1" w:styleId="176">
    <w:name w:val="样式 标书正文 + 下划线 Char"/>
    <w:qFormat/>
    <w:uiPriority w:val="0"/>
    <w:rPr>
      <w:rFonts w:hint="eastAsia" w:ascii="楷体_GB2312" w:eastAsia="楷体_GB2312"/>
      <w:kern w:val="2"/>
      <w:sz w:val="28"/>
      <w:szCs w:val="28"/>
      <w:u w:val="single"/>
      <w:lang w:val="en-US" w:eastAsia="zh-CN" w:bidi="ar-SA"/>
    </w:rPr>
  </w:style>
  <w:style w:type="character" w:customStyle="1" w:styleId="177">
    <w:name w:val="样式 二级条标题 + 宋体5 Char"/>
    <w:qFormat/>
    <w:uiPriority w:val="0"/>
    <w:rPr>
      <w:rFonts w:hint="eastAsia" w:ascii="宋体" w:hAnsi="宋体" w:eastAsia="宋体"/>
      <w:sz w:val="21"/>
      <w:lang w:val="en-US" w:eastAsia="zh-CN" w:bidi="ar-SA"/>
    </w:rPr>
  </w:style>
  <w:style w:type="character" w:customStyle="1" w:styleId="178">
    <w:name w:val="样式 标书正文 + 黑色 Char"/>
    <w:qFormat/>
    <w:uiPriority w:val="0"/>
    <w:rPr>
      <w:rFonts w:hint="default" w:ascii="Ari" w:hAnsi="Ari" w:eastAsia="Ari"/>
      <w:color w:val="000000"/>
      <w:kern w:val="2"/>
      <w:sz w:val="28"/>
      <w:szCs w:val="28"/>
      <w:lang w:val="en-US" w:eastAsia="zh-CN" w:bidi="ar-SA"/>
    </w:rPr>
  </w:style>
  <w:style w:type="character" w:customStyle="1" w:styleId="179">
    <w:name w:val="样式1 Char"/>
    <w:qFormat/>
    <w:uiPriority w:val="0"/>
    <w:rPr>
      <w:rFonts w:hint="eastAsia" w:ascii="宋体" w:hAnsi="宋体" w:eastAsia="宋体"/>
      <w:kern w:val="2"/>
      <w:sz w:val="24"/>
      <w:szCs w:val="24"/>
    </w:rPr>
  </w:style>
  <w:style w:type="character" w:customStyle="1" w:styleId="180">
    <w:name w:val="Plain Text Char"/>
    <w:semiHidden/>
    <w:qFormat/>
    <w:locked/>
    <w:uiPriority w:val="0"/>
    <w:rPr>
      <w:rFonts w:hint="eastAsia" w:ascii="宋体" w:hAnsi="Courier New" w:eastAsia="宋体" w:cs="Courier New"/>
      <w:kern w:val="0"/>
      <w:sz w:val="21"/>
      <w:szCs w:val="21"/>
    </w:rPr>
  </w:style>
  <w:style w:type="character" w:customStyle="1" w:styleId="181">
    <w:name w:val="文档结构图 字符1"/>
    <w:basedOn w:val="61"/>
    <w:semiHidden/>
    <w:qFormat/>
    <w:uiPriority w:val="99"/>
    <w:rPr>
      <w:rFonts w:hint="eastAsia" w:ascii="Microsoft YaHei UI" w:hAnsi="Microsoft YaHei UI" w:eastAsia="Microsoft YaHei UI"/>
      <w:kern w:val="2"/>
      <w:sz w:val="18"/>
      <w:szCs w:val="18"/>
    </w:rPr>
  </w:style>
  <w:style w:type="character" w:customStyle="1" w:styleId="182">
    <w:name w:val="批注文字 字符1"/>
    <w:basedOn w:val="61"/>
    <w:semiHidden/>
    <w:qFormat/>
    <w:uiPriority w:val="99"/>
    <w:rPr>
      <w:kern w:val="2"/>
      <w:sz w:val="21"/>
      <w:szCs w:val="24"/>
    </w:rPr>
  </w:style>
  <w:style w:type="character" w:customStyle="1" w:styleId="183">
    <w:name w:val="正文文本缩进 2 字符1"/>
    <w:basedOn w:val="61"/>
    <w:semiHidden/>
    <w:qFormat/>
    <w:uiPriority w:val="99"/>
    <w:rPr>
      <w:kern w:val="2"/>
      <w:sz w:val="21"/>
      <w:szCs w:val="24"/>
    </w:rPr>
  </w:style>
  <w:style w:type="character" w:customStyle="1" w:styleId="184">
    <w:name w:val="正文文本缩进 字符1"/>
    <w:basedOn w:val="61"/>
    <w:semiHidden/>
    <w:qFormat/>
    <w:uiPriority w:val="99"/>
    <w:rPr>
      <w:kern w:val="2"/>
      <w:sz w:val="21"/>
      <w:szCs w:val="24"/>
    </w:rPr>
  </w:style>
  <w:style w:type="character" w:customStyle="1" w:styleId="185">
    <w:name w:val="正文文本 Char"/>
    <w:basedOn w:val="61"/>
    <w:link w:val="3"/>
    <w:semiHidden/>
    <w:qFormat/>
    <w:locked/>
    <w:uiPriority w:val="0"/>
    <w:rPr>
      <w:rFonts w:ascii="Times New Roman" w:hAnsi="Times New Roman" w:eastAsia="宋体" w:cs="Times New Roman"/>
      <w:szCs w:val="24"/>
    </w:rPr>
  </w:style>
  <w:style w:type="character" w:customStyle="1" w:styleId="186">
    <w:name w:val="正文文本首行缩进 字符1"/>
    <w:basedOn w:val="185"/>
    <w:semiHidden/>
    <w:qFormat/>
    <w:uiPriority w:val="99"/>
    <w:rPr>
      <w:rFonts w:ascii="Times New Roman" w:hAnsi="Times New Roman" w:eastAsia="宋体" w:cs="Times New Roman"/>
      <w:szCs w:val="24"/>
    </w:rPr>
  </w:style>
  <w:style w:type="character" w:customStyle="1" w:styleId="187">
    <w:name w:val="批注框文本 字符1"/>
    <w:basedOn w:val="61"/>
    <w:semiHidden/>
    <w:qFormat/>
    <w:uiPriority w:val="99"/>
    <w:rPr>
      <w:kern w:val="2"/>
      <w:sz w:val="18"/>
      <w:szCs w:val="18"/>
    </w:rPr>
  </w:style>
  <w:style w:type="character" w:customStyle="1" w:styleId="188">
    <w:name w:val="正文文本 3 字符1"/>
    <w:basedOn w:val="61"/>
    <w:semiHidden/>
    <w:qFormat/>
    <w:uiPriority w:val="99"/>
    <w:rPr>
      <w:kern w:val="2"/>
      <w:sz w:val="16"/>
      <w:szCs w:val="16"/>
    </w:rPr>
  </w:style>
  <w:style w:type="character" w:customStyle="1" w:styleId="189">
    <w:name w:val="标题 字符1"/>
    <w:basedOn w:val="61"/>
    <w:qFormat/>
    <w:uiPriority w:val="10"/>
    <w:rPr>
      <w:rFonts w:hint="eastAsia" w:asciiTheme="majorHAnsi" w:hAnsiTheme="majorHAnsi" w:eastAsiaTheme="majorEastAsia" w:cstheme="majorBidi"/>
      <w:b/>
      <w:bCs/>
      <w:kern w:val="2"/>
      <w:sz w:val="32"/>
      <w:szCs w:val="32"/>
    </w:rPr>
  </w:style>
  <w:style w:type="character" w:customStyle="1" w:styleId="190">
    <w:name w:val="纯文本 字符1"/>
    <w:basedOn w:val="61"/>
    <w:semiHidden/>
    <w:qFormat/>
    <w:uiPriority w:val="99"/>
    <w:rPr>
      <w:rFonts w:hint="eastAsia" w:hAnsi="Courier New" w:cs="Courier New" w:asciiTheme="minorEastAsia" w:eastAsiaTheme="minorEastAsia"/>
      <w:kern w:val="2"/>
      <w:sz w:val="21"/>
      <w:szCs w:val="24"/>
    </w:rPr>
  </w:style>
  <w:style w:type="character" w:customStyle="1" w:styleId="191">
    <w:name w:val="批注主题 字符1"/>
    <w:basedOn w:val="182"/>
    <w:semiHidden/>
    <w:qFormat/>
    <w:uiPriority w:val="99"/>
    <w:rPr>
      <w:b/>
      <w:bCs/>
      <w:kern w:val="2"/>
      <w:sz w:val="21"/>
      <w:szCs w:val="24"/>
    </w:rPr>
  </w:style>
  <w:style w:type="character" w:customStyle="1" w:styleId="192">
    <w:name w:val="正文文本缩进 3 字符1"/>
    <w:basedOn w:val="61"/>
    <w:semiHidden/>
    <w:qFormat/>
    <w:uiPriority w:val="99"/>
    <w:rPr>
      <w:kern w:val="2"/>
      <w:sz w:val="16"/>
      <w:szCs w:val="16"/>
    </w:rPr>
  </w:style>
  <w:style w:type="character" w:customStyle="1" w:styleId="193">
    <w:name w:val="页眉 字符1"/>
    <w:basedOn w:val="61"/>
    <w:semiHidden/>
    <w:qFormat/>
    <w:uiPriority w:val="99"/>
    <w:rPr>
      <w:kern w:val="2"/>
      <w:sz w:val="18"/>
      <w:szCs w:val="18"/>
    </w:rPr>
  </w:style>
  <w:style w:type="character" w:customStyle="1" w:styleId="194">
    <w:name w:val="日期 字符1"/>
    <w:basedOn w:val="61"/>
    <w:semiHidden/>
    <w:qFormat/>
    <w:uiPriority w:val="99"/>
    <w:rPr>
      <w:kern w:val="2"/>
      <w:sz w:val="21"/>
      <w:szCs w:val="24"/>
    </w:rPr>
  </w:style>
  <w:style w:type="character" w:customStyle="1" w:styleId="195">
    <w:name w:val="引用 字符1"/>
    <w:basedOn w:val="61"/>
    <w:qFormat/>
    <w:uiPriority w:val="29"/>
    <w:rPr>
      <w:i/>
      <w:iCs/>
      <w:color w:val="3F3F3F" w:themeColor="text1" w:themeTint="BF"/>
      <w:kern w:val="2"/>
      <w:sz w:val="21"/>
      <w:szCs w:val="24"/>
    </w:rPr>
  </w:style>
  <w:style w:type="character" w:customStyle="1" w:styleId="196">
    <w:name w:val="正文文本 2 字符1"/>
    <w:basedOn w:val="61"/>
    <w:semiHidden/>
    <w:qFormat/>
    <w:uiPriority w:val="99"/>
    <w:rPr>
      <w:kern w:val="2"/>
      <w:sz w:val="21"/>
      <w:szCs w:val="24"/>
    </w:rPr>
  </w:style>
  <w:style w:type="character" w:customStyle="1" w:styleId="197">
    <w:name w:val="正文文本首行缩进 2 字符1"/>
    <w:basedOn w:val="184"/>
    <w:semiHidden/>
    <w:qFormat/>
    <w:uiPriority w:val="99"/>
    <w:rPr>
      <w:kern w:val="2"/>
      <w:sz w:val="21"/>
      <w:szCs w:val="24"/>
    </w:rPr>
  </w:style>
  <w:style w:type="character" w:customStyle="1" w:styleId="198">
    <w:name w:val="副标题 字符1"/>
    <w:basedOn w:val="61"/>
    <w:qFormat/>
    <w:uiPriority w:val="11"/>
    <w:rPr>
      <w:rFonts w:hint="eastAsia" w:asciiTheme="minorHAnsi" w:hAnsiTheme="minorHAnsi" w:eastAsiaTheme="minorEastAsia" w:cstheme="minorBidi"/>
      <w:b/>
      <w:bCs/>
      <w:kern w:val="28"/>
      <w:sz w:val="32"/>
      <w:szCs w:val="32"/>
    </w:rPr>
  </w:style>
  <w:style w:type="character" w:customStyle="1" w:styleId="199">
    <w:name w:val="页脚 字符1"/>
    <w:basedOn w:val="61"/>
    <w:semiHidden/>
    <w:qFormat/>
    <w:uiPriority w:val="99"/>
    <w:rPr>
      <w:kern w:val="2"/>
      <w:sz w:val="18"/>
      <w:szCs w:val="18"/>
    </w:rPr>
  </w:style>
  <w:style w:type="character" w:customStyle="1" w:styleId="200">
    <w:name w:val="明显引用 字符1"/>
    <w:basedOn w:val="61"/>
    <w:qFormat/>
    <w:uiPriority w:val="30"/>
    <w:rPr>
      <w:i/>
      <w:iCs/>
      <w:color w:val="4F81BD" w:themeColor="accent1"/>
      <w:kern w:val="2"/>
      <w:sz w:val="21"/>
      <w:szCs w:val="24"/>
    </w:rPr>
  </w:style>
  <w:style w:type="paragraph" w:customStyle="1" w:styleId="201">
    <w:name w:val="标书正文居左"/>
    <w:basedOn w:val="143"/>
    <w:qFormat/>
    <w:uiPriority w:val="0"/>
  </w:style>
  <w:style w:type="character" w:customStyle="1" w:styleId="202">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203">
    <w:name w:val="Char Char Char1"/>
    <w:basedOn w:val="1"/>
    <w:qFormat/>
    <w:uiPriority w:val="99"/>
  </w:style>
  <w:style w:type="character" w:customStyle="1" w:styleId="204">
    <w:name w:val="font31"/>
    <w:basedOn w:val="61"/>
    <w:qFormat/>
    <w:uiPriority w:val="0"/>
    <w:rPr>
      <w:rFonts w:hint="eastAsia" w:ascii="宋体" w:hAnsi="宋体" w:eastAsia="宋体" w:cs="宋体"/>
      <w:color w:val="000000"/>
      <w:sz w:val="18"/>
      <w:szCs w:val="18"/>
      <w:u w:val="none"/>
    </w:rPr>
  </w:style>
  <w:style w:type="character" w:customStyle="1" w:styleId="205">
    <w:name w:val="font01"/>
    <w:basedOn w:val="61"/>
    <w:qFormat/>
    <w:uiPriority w:val="0"/>
    <w:rPr>
      <w:rFonts w:ascii="Calibri" w:hAnsi="Calibri" w:cs="Calibri"/>
      <w:color w:val="000000"/>
      <w:sz w:val="18"/>
      <w:szCs w:val="18"/>
      <w:u w:val="none"/>
    </w:rPr>
  </w:style>
  <w:style w:type="paragraph" w:customStyle="1" w:styleId="206">
    <w:name w:val="正文."/>
    <w:basedOn w:val="1"/>
    <w:qFormat/>
    <w:uiPriority w:val="0"/>
    <w:pPr>
      <w:spacing w:line="240" w:lineRule="auto"/>
      <w:ind w:firstLine="0" w:firstLineChars="0"/>
    </w:pPr>
    <w:rPr>
      <w:rFonts w:ascii="宋体" w:hAnsi="宋体" w:eastAsia="宋体" w:cs="宋体"/>
      <w:sz w:val="21"/>
      <w:szCs w:val="21"/>
    </w:rPr>
  </w:style>
  <w:style w:type="paragraph" w:customStyle="1" w:styleId="207">
    <w:name w:val="00正文"/>
    <w:basedOn w:val="1"/>
    <w:qFormat/>
    <w:uiPriority w:val="0"/>
    <w:pPr>
      <w:topLinePunct/>
      <w:adjustRightInd w:val="0"/>
      <w:snapToGrid w:val="0"/>
      <w:spacing w:line="300" w:lineRule="auto"/>
      <w:ind w:firstLine="480" w:firstLineChars="200"/>
    </w:pPr>
    <w:rPr>
      <w:rFonts w:ascii="Calibri" w:hAnsi="Calibri"/>
      <w:kern w:val="0"/>
      <w:sz w:val="24"/>
    </w:rPr>
  </w:style>
  <w:style w:type="character" w:customStyle="1" w:styleId="208">
    <w:name w:val="font51"/>
    <w:basedOn w:val="6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123</Pages>
  <Words>77729</Words>
  <Characters>80939</Characters>
  <Lines>302</Lines>
  <Paragraphs>85</Paragraphs>
  <TotalTime>6</TotalTime>
  <ScaleCrop>false</ScaleCrop>
  <LinksUpToDate>false</LinksUpToDate>
  <CharactersWithSpaces>82733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2020-06-19T02:47:00Z</dcterms:created>
  <dc:creator>admin</dc:creator>
  <cp:lastModifiedBy>一只青蛙</cp:lastModifiedBy>
  <cp:lastPrinted>2020-09-28T08:41:00Z</cp:lastPrinted>
  <dcterms:modified xsi:type="dcterms:W3CDTF">2024-03-07T07:01:57Z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BC9CBC0C02F549FBBB2523B669D65A82</vt:lpwstr>
  </property>
</Properties>
</file>