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b/>
          <w:bCs/>
          <w:color w:val="000000"/>
          <w:w w:val="90"/>
          <w:kern w:val="0"/>
          <w:sz w:val="52"/>
          <w:szCs w:val="52"/>
        </w:rPr>
      </w:pPr>
    </w:p>
    <w:p>
      <w:pPr>
        <w:widowControl/>
        <w:jc w:val="center"/>
        <w:rPr>
          <w:rFonts w:hint="eastAsia" w:eastAsia="宋体"/>
          <w:b/>
          <w:bCs/>
          <w:color w:val="000000"/>
          <w:kern w:val="0"/>
          <w:sz w:val="52"/>
          <w:szCs w:val="52"/>
          <w:lang w:eastAsia="zh-CN"/>
        </w:rPr>
      </w:pPr>
      <w:r>
        <w:rPr>
          <w:rFonts w:hint="eastAsia"/>
          <w:b/>
          <w:bCs/>
          <w:color w:val="000000"/>
          <w:kern w:val="0"/>
          <w:sz w:val="48"/>
          <w:szCs w:val="48"/>
          <w:lang w:eastAsia="zh-CN"/>
        </w:rPr>
        <w:t>太原市迎泽区市场监督管理局</w:t>
      </w:r>
    </w:p>
    <w:p>
      <w:pPr>
        <w:widowControl/>
        <w:jc w:val="center"/>
        <w:rPr>
          <w:rFonts w:hint="eastAsia"/>
          <w:b/>
          <w:bCs/>
          <w:color w:val="000000"/>
          <w:kern w:val="0"/>
          <w:sz w:val="48"/>
          <w:szCs w:val="48"/>
          <w:lang w:eastAsia="zh-CN"/>
        </w:rPr>
      </w:pPr>
      <w:r>
        <w:rPr>
          <w:rFonts w:hint="eastAsia"/>
          <w:b/>
          <w:bCs/>
          <w:color w:val="000000"/>
          <w:kern w:val="0"/>
          <w:sz w:val="48"/>
          <w:szCs w:val="48"/>
          <w:lang w:eastAsia="zh-CN"/>
        </w:rPr>
        <w:t>2024年食品安全监督抽检项目</w:t>
      </w:r>
    </w:p>
    <w:p>
      <w:pPr>
        <w:widowControl/>
        <w:spacing w:line="360" w:lineRule="auto"/>
        <w:jc w:val="center"/>
        <w:rPr>
          <w:color w:val="000000"/>
          <w:kern w:val="0"/>
          <w:sz w:val="52"/>
          <w:szCs w:val="52"/>
        </w:rPr>
      </w:pPr>
    </w:p>
    <w:p>
      <w:pPr>
        <w:widowControl/>
        <w:spacing w:line="360" w:lineRule="auto"/>
        <w:jc w:val="center"/>
        <w:rPr>
          <w:color w:val="000000"/>
          <w:kern w:val="0"/>
          <w:sz w:val="52"/>
          <w:szCs w:val="52"/>
        </w:rPr>
      </w:pPr>
    </w:p>
    <w:p>
      <w:pPr>
        <w:widowControl/>
        <w:spacing w:line="360" w:lineRule="auto"/>
        <w:jc w:val="center"/>
        <w:rPr>
          <w:color w:val="000000"/>
          <w:kern w:val="0"/>
          <w:sz w:val="52"/>
          <w:szCs w:val="52"/>
        </w:rPr>
      </w:pPr>
    </w:p>
    <w:p>
      <w:pPr>
        <w:widowControl/>
        <w:spacing w:line="360" w:lineRule="auto"/>
        <w:jc w:val="center"/>
        <w:rPr>
          <w:color w:val="000000"/>
          <w:kern w:val="0"/>
          <w:sz w:val="52"/>
          <w:szCs w:val="52"/>
        </w:rPr>
      </w:pPr>
    </w:p>
    <w:p>
      <w:pPr>
        <w:widowControl/>
        <w:snapToGrid w:val="0"/>
        <w:jc w:val="center"/>
        <w:rPr>
          <w:color w:val="000000"/>
          <w:kern w:val="0"/>
          <w:sz w:val="100"/>
          <w:szCs w:val="100"/>
        </w:rPr>
      </w:pPr>
      <w:r>
        <w:rPr>
          <w:color w:val="000000"/>
          <w:kern w:val="0"/>
          <w:sz w:val="100"/>
          <w:szCs w:val="100"/>
        </w:rPr>
        <w:t>磋 商 文 件</w:t>
      </w:r>
    </w:p>
    <w:p>
      <w:pPr>
        <w:widowControl/>
        <w:spacing w:line="360" w:lineRule="auto"/>
        <w:ind w:firstLine="1897" w:firstLineChars="593"/>
        <w:rPr>
          <w:rFonts w:hint="eastAsia"/>
          <w:color w:val="000000"/>
          <w:kern w:val="0"/>
          <w:sz w:val="32"/>
          <w:szCs w:val="32"/>
          <w:lang w:eastAsia="zh-CN"/>
        </w:rPr>
      </w:pPr>
      <w:r>
        <w:rPr>
          <w:color w:val="000000"/>
          <w:kern w:val="0"/>
          <w:sz w:val="32"/>
          <w:szCs w:val="32"/>
        </w:rPr>
        <w:t>项目编号：</w:t>
      </w:r>
      <w:r>
        <w:rPr>
          <w:rFonts w:hint="eastAsia"/>
          <w:color w:val="000000"/>
          <w:kern w:val="0"/>
          <w:sz w:val="32"/>
          <w:szCs w:val="32"/>
          <w:lang w:eastAsia="zh-CN"/>
        </w:rPr>
        <w:t>1401062024CCS00032</w:t>
      </w:r>
    </w:p>
    <w:p>
      <w:pPr>
        <w:widowControl/>
        <w:spacing w:line="360" w:lineRule="auto"/>
        <w:jc w:val="center"/>
        <w:rPr>
          <w:color w:val="000000"/>
          <w:kern w:val="0"/>
          <w:sz w:val="32"/>
          <w:szCs w:val="32"/>
        </w:rPr>
      </w:pPr>
    </w:p>
    <w:p>
      <w:pPr>
        <w:widowControl/>
        <w:spacing w:line="360" w:lineRule="auto"/>
        <w:jc w:val="center"/>
        <w:rPr>
          <w:color w:val="000000"/>
          <w:kern w:val="0"/>
          <w:sz w:val="32"/>
          <w:szCs w:val="32"/>
        </w:rPr>
      </w:pPr>
    </w:p>
    <w:p>
      <w:pPr>
        <w:widowControl/>
        <w:spacing w:line="360" w:lineRule="auto"/>
        <w:jc w:val="center"/>
        <w:rPr>
          <w:color w:val="000000"/>
          <w:kern w:val="0"/>
          <w:sz w:val="32"/>
          <w:szCs w:val="32"/>
        </w:rPr>
      </w:pPr>
    </w:p>
    <w:p>
      <w:pPr>
        <w:widowControl/>
        <w:spacing w:line="360" w:lineRule="auto"/>
        <w:jc w:val="center"/>
        <w:rPr>
          <w:color w:val="000000"/>
          <w:kern w:val="0"/>
          <w:sz w:val="32"/>
          <w:szCs w:val="32"/>
        </w:rPr>
      </w:pPr>
    </w:p>
    <w:p>
      <w:pPr>
        <w:widowControl/>
        <w:spacing w:line="360" w:lineRule="auto"/>
        <w:jc w:val="center"/>
        <w:rPr>
          <w:color w:val="000000"/>
          <w:kern w:val="0"/>
          <w:sz w:val="32"/>
          <w:szCs w:val="32"/>
        </w:rPr>
      </w:pPr>
    </w:p>
    <w:p>
      <w:pPr>
        <w:widowControl/>
        <w:spacing w:line="360" w:lineRule="auto"/>
        <w:jc w:val="center"/>
        <w:rPr>
          <w:color w:val="000000"/>
          <w:kern w:val="0"/>
          <w:sz w:val="32"/>
          <w:szCs w:val="32"/>
        </w:rPr>
      </w:pPr>
    </w:p>
    <w:p>
      <w:pPr>
        <w:widowControl/>
        <w:spacing w:line="360" w:lineRule="auto"/>
        <w:jc w:val="center"/>
        <w:rPr>
          <w:color w:val="000000"/>
          <w:kern w:val="0"/>
          <w:sz w:val="32"/>
          <w:szCs w:val="32"/>
        </w:rPr>
      </w:pPr>
    </w:p>
    <w:p>
      <w:pPr>
        <w:pStyle w:val="30"/>
        <w:ind w:firstLine="420"/>
      </w:pPr>
    </w:p>
    <w:p>
      <w:pPr>
        <w:widowControl/>
        <w:spacing w:line="360" w:lineRule="auto"/>
        <w:jc w:val="center"/>
        <w:rPr>
          <w:rFonts w:hint="eastAsia" w:eastAsia="宋体"/>
          <w:color w:val="000000"/>
          <w:kern w:val="0"/>
          <w:sz w:val="32"/>
          <w:szCs w:val="32"/>
          <w:lang w:eastAsia="zh-CN"/>
        </w:rPr>
      </w:pPr>
      <w:r>
        <w:rPr>
          <w:color w:val="000000"/>
          <w:kern w:val="0"/>
          <w:sz w:val="32"/>
          <w:szCs w:val="32"/>
        </w:rPr>
        <w:t>采</w:t>
      </w:r>
      <w:r>
        <w:rPr>
          <w:rFonts w:hint="eastAsia"/>
          <w:color w:val="000000"/>
          <w:kern w:val="0"/>
          <w:sz w:val="32"/>
          <w:szCs w:val="32"/>
          <w:lang w:val="en-US" w:eastAsia="zh-CN"/>
        </w:rPr>
        <w:t xml:space="preserve"> </w:t>
      </w:r>
      <w:r>
        <w:rPr>
          <w:color w:val="000000"/>
          <w:kern w:val="0"/>
          <w:sz w:val="32"/>
          <w:szCs w:val="32"/>
        </w:rPr>
        <w:t>购</w:t>
      </w:r>
      <w:r>
        <w:rPr>
          <w:rFonts w:hint="eastAsia"/>
          <w:color w:val="000000"/>
          <w:kern w:val="0"/>
          <w:sz w:val="32"/>
          <w:szCs w:val="32"/>
          <w:lang w:val="en-US" w:eastAsia="zh-CN"/>
        </w:rPr>
        <w:t xml:space="preserve"> </w:t>
      </w:r>
      <w:r>
        <w:rPr>
          <w:color w:val="000000"/>
          <w:kern w:val="0"/>
          <w:sz w:val="32"/>
          <w:szCs w:val="32"/>
        </w:rPr>
        <w:t>人：</w:t>
      </w:r>
      <w:r>
        <w:rPr>
          <w:rFonts w:hint="eastAsia"/>
          <w:color w:val="000000"/>
          <w:kern w:val="0"/>
          <w:sz w:val="32"/>
          <w:szCs w:val="32"/>
          <w:lang w:eastAsia="zh-CN"/>
        </w:rPr>
        <w:t>太原市迎泽区市场监督管理局</w:t>
      </w:r>
    </w:p>
    <w:p>
      <w:pPr>
        <w:widowControl/>
        <w:spacing w:line="360" w:lineRule="auto"/>
        <w:ind w:left="0" w:leftChars="0" w:firstLine="1280" w:firstLineChars="400"/>
        <w:rPr>
          <w:color w:val="000000"/>
          <w:kern w:val="0"/>
          <w:sz w:val="32"/>
          <w:szCs w:val="32"/>
        </w:rPr>
      </w:pPr>
      <w:r>
        <w:rPr>
          <w:color w:val="000000"/>
          <w:kern w:val="0"/>
          <w:sz w:val="32"/>
          <w:szCs w:val="32"/>
        </w:rPr>
        <w:t>采购代理机构：山西省国际招标有限公司</w:t>
      </w:r>
    </w:p>
    <w:p>
      <w:pPr>
        <w:widowControl/>
        <w:spacing w:line="360" w:lineRule="auto"/>
        <w:jc w:val="center"/>
        <w:rPr>
          <w:color w:val="000000"/>
          <w:kern w:val="0"/>
          <w:sz w:val="32"/>
          <w:szCs w:val="32"/>
        </w:rPr>
        <w:sectPr>
          <w:headerReference r:id="rId3" w:type="default"/>
          <w:footerReference r:id="rId4" w:type="default"/>
          <w:pgSz w:w="11907" w:h="16840"/>
          <w:pgMar w:top="1440" w:right="1797" w:bottom="1440" w:left="1797" w:header="964" w:footer="992" w:gutter="0"/>
          <w:cols w:space="720" w:num="1"/>
          <w:titlePg/>
        </w:sectPr>
      </w:pPr>
      <w:r>
        <w:rPr>
          <w:color w:val="000000"/>
          <w:kern w:val="0"/>
          <w:sz w:val="32"/>
          <w:szCs w:val="32"/>
        </w:rPr>
        <w:t>202</w:t>
      </w:r>
      <w:r>
        <w:rPr>
          <w:rFonts w:hint="eastAsia"/>
          <w:color w:val="000000"/>
          <w:kern w:val="0"/>
          <w:sz w:val="32"/>
          <w:szCs w:val="32"/>
          <w:lang w:val="en-US" w:eastAsia="zh-CN"/>
        </w:rPr>
        <w:t>4</w:t>
      </w:r>
      <w:r>
        <w:rPr>
          <w:color w:val="000000"/>
          <w:kern w:val="0"/>
          <w:sz w:val="32"/>
          <w:szCs w:val="32"/>
        </w:rPr>
        <w:t>年</w:t>
      </w:r>
      <w:r>
        <w:rPr>
          <w:rFonts w:hint="eastAsia"/>
          <w:color w:val="000000"/>
          <w:kern w:val="0"/>
          <w:sz w:val="32"/>
          <w:szCs w:val="32"/>
          <w:lang w:val="en-US" w:eastAsia="zh-CN"/>
        </w:rPr>
        <w:t>4</w:t>
      </w:r>
      <w:r>
        <w:rPr>
          <w:color w:val="000000"/>
          <w:kern w:val="0"/>
          <w:sz w:val="32"/>
          <w:szCs w:val="32"/>
        </w:rPr>
        <w:t>月</w:t>
      </w:r>
    </w:p>
    <w:p>
      <w:pPr>
        <w:widowControl/>
        <w:snapToGrid w:val="0"/>
        <w:rPr>
          <w:b/>
          <w:bCs/>
          <w:color w:val="000000"/>
          <w:kern w:val="44"/>
          <w:sz w:val="36"/>
        </w:rPr>
        <w:sectPr>
          <w:pgSz w:w="11907" w:h="16840"/>
          <w:pgMar w:top="1440" w:right="1797" w:bottom="1440" w:left="1797" w:header="964" w:footer="992" w:gutter="0"/>
          <w:cols w:space="720" w:num="1"/>
          <w:titlePg/>
        </w:sectPr>
      </w:pPr>
    </w:p>
    <w:p>
      <w:pPr>
        <w:widowControl/>
        <w:snapToGrid w:val="0"/>
        <w:spacing w:before="240" w:beforeLines="100"/>
        <w:jc w:val="center"/>
        <w:rPr>
          <w:b/>
          <w:bCs/>
          <w:color w:val="000000"/>
          <w:kern w:val="44"/>
          <w:sz w:val="36"/>
        </w:rPr>
      </w:pPr>
      <w:r>
        <w:rPr>
          <w:b/>
          <w:bCs/>
          <w:color w:val="000000"/>
          <w:kern w:val="44"/>
          <w:sz w:val="36"/>
        </w:rPr>
        <w:t>目    录</w:t>
      </w:r>
    </w:p>
    <w:p>
      <w:pPr>
        <w:widowControl/>
        <w:jc w:val="left"/>
        <w:rPr>
          <w:color w:val="000000"/>
          <w:kern w:val="0"/>
          <w:sz w:val="24"/>
        </w:rPr>
      </w:pPr>
    </w:p>
    <w:p>
      <w:pPr>
        <w:pStyle w:val="23"/>
        <w:tabs>
          <w:tab w:val="right" w:leader="dot" w:pos="8313"/>
          <w:tab w:val="clear" w:pos="8303"/>
        </w:tabs>
      </w:pPr>
      <w:r>
        <w:rPr>
          <w:color w:val="000000"/>
          <w:kern w:val="0"/>
          <w:sz w:val="24"/>
        </w:rPr>
        <w:fldChar w:fldCharType="begin"/>
      </w:r>
      <w:r>
        <w:rPr>
          <w:color w:val="000000"/>
          <w:kern w:val="0"/>
          <w:sz w:val="24"/>
        </w:rPr>
        <w:instrText xml:space="preserve"> TOC \o "1-3" \h \z \u </w:instrText>
      </w:r>
      <w:r>
        <w:rPr>
          <w:color w:val="000000"/>
          <w:kern w:val="0"/>
          <w:sz w:val="24"/>
        </w:rPr>
        <w:fldChar w:fldCharType="separate"/>
      </w:r>
      <w:r>
        <w:fldChar w:fldCharType="begin"/>
      </w:r>
      <w:r>
        <w:instrText xml:space="preserve"> HYPERLINK \l "_Toc20673" </w:instrText>
      </w:r>
      <w:r>
        <w:fldChar w:fldCharType="separate"/>
      </w:r>
      <w:r>
        <w:rPr>
          <w:kern w:val="0"/>
          <w:szCs w:val="32"/>
        </w:rPr>
        <w:t>第一部分  磋商公告</w:t>
      </w:r>
      <w:r>
        <w:tab/>
      </w:r>
      <w:r>
        <w:fldChar w:fldCharType="begin"/>
      </w:r>
      <w:r>
        <w:instrText xml:space="preserve"> PAGEREF _Toc20673 \h </w:instrText>
      </w:r>
      <w:r>
        <w:fldChar w:fldCharType="separate"/>
      </w:r>
      <w:r>
        <w:t>2</w:t>
      </w:r>
      <w:r>
        <w:fldChar w:fldCharType="end"/>
      </w:r>
      <w:r>
        <w:fldChar w:fldCharType="end"/>
      </w:r>
    </w:p>
    <w:p>
      <w:pPr>
        <w:pStyle w:val="23"/>
        <w:tabs>
          <w:tab w:val="right" w:leader="dot" w:pos="8313"/>
          <w:tab w:val="clear" w:pos="8303"/>
        </w:tabs>
      </w:pPr>
      <w:r>
        <w:fldChar w:fldCharType="begin"/>
      </w:r>
      <w:r>
        <w:instrText xml:space="preserve"> HYPERLINK \l "_Toc31516" </w:instrText>
      </w:r>
      <w:r>
        <w:fldChar w:fldCharType="separate"/>
      </w:r>
      <w:r>
        <w:rPr>
          <w:kern w:val="0"/>
          <w:szCs w:val="32"/>
        </w:rPr>
        <w:t>第二部分  供应商须知</w:t>
      </w:r>
      <w:r>
        <w:tab/>
      </w:r>
      <w:r>
        <w:fldChar w:fldCharType="begin"/>
      </w:r>
      <w:r>
        <w:instrText xml:space="preserve"> PAGEREF _Toc31516 \h </w:instrText>
      </w:r>
      <w:r>
        <w:fldChar w:fldCharType="separate"/>
      </w:r>
      <w:r>
        <w:t>5</w:t>
      </w:r>
      <w:r>
        <w:fldChar w:fldCharType="end"/>
      </w:r>
      <w:r>
        <w:fldChar w:fldCharType="end"/>
      </w:r>
    </w:p>
    <w:p>
      <w:pPr>
        <w:pStyle w:val="25"/>
        <w:tabs>
          <w:tab w:val="right" w:leader="dot" w:pos="8313"/>
        </w:tabs>
        <w:snapToGrid w:val="0"/>
        <w:spacing w:line="360" w:lineRule="auto"/>
      </w:pPr>
      <w:r>
        <w:fldChar w:fldCharType="begin"/>
      </w:r>
      <w:r>
        <w:instrText xml:space="preserve"> HYPERLINK \l "_Toc5815" </w:instrText>
      </w:r>
      <w:r>
        <w:fldChar w:fldCharType="separate"/>
      </w:r>
      <w:r>
        <w:rPr>
          <w:bCs/>
          <w:kern w:val="0"/>
        </w:rPr>
        <w:t>一、总则</w:t>
      </w:r>
      <w:r>
        <w:tab/>
      </w:r>
      <w:r>
        <w:fldChar w:fldCharType="begin"/>
      </w:r>
      <w:r>
        <w:instrText xml:space="preserve"> PAGEREF _Toc5815 \h </w:instrText>
      </w:r>
      <w:r>
        <w:fldChar w:fldCharType="separate"/>
      </w:r>
      <w:r>
        <w:t>5</w:t>
      </w:r>
      <w:r>
        <w:fldChar w:fldCharType="end"/>
      </w:r>
      <w:r>
        <w:fldChar w:fldCharType="end"/>
      </w:r>
    </w:p>
    <w:p>
      <w:pPr>
        <w:pStyle w:val="25"/>
        <w:tabs>
          <w:tab w:val="right" w:leader="dot" w:pos="8313"/>
        </w:tabs>
        <w:snapToGrid w:val="0"/>
        <w:spacing w:line="360" w:lineRule="auto"/>
      </w:pPr>
      <w:r>
        <w:fldChar w:fldCharType="begin"/>
      </w:r>
      <w:r>
        <w:instrText xml:space="preserve"> HYPERLINK \l "_Toc6541" </w:instrText>
      </w:r>
      <w:r>
        <w:fldChar w:fldCharType="separate"/>
      </w:r>
      <w:r>
        <w:rPr>
          <w:bCs/>
          <w:kern w:val="0"/>
        </w:rPr>
        <w:t>二、磋商文件</w:t>
      </w:r>
      <w:r>
        <w:tab/>
      </w:r>
      <w:r>
        <w:fldChar w:fldCharType="begin"/>
      </w:r>
      <w:r>
        <w:instrText xml:space="preserve"> PAGEREF _Toc6541 \h </w:instrText>
      </w:r>
      <w:r>
        <w:fldChar w:fldCharType="separate"/>
      </w:r>
      <w:r>
        <w:t>5</w:t>
      </w:r>
      <w:r>
        <w:fldChar w:fldCharType="end"/>
      </w:r>
      <w:r>
        <w:fldChar w:fldCharType="end"/>
      </w:r>
    </w:p>
    <w:p>
      <w:pPr>
        <w:pStyle w:val="25"/>
        <w:tabs>
          <w:tab w:val="right" w:leader="dot" w:pos="8313"/>
        </w:tabs>
        <w:snapToGrid w:val="0"/>
        <w:spacing w:line="360" w:lineRule="auto"/>
      </w:pPr>
      <w:r>
        <w:fldChar w:fldCharType="begin"/>
      </w:r>
      <w:r>
        <w:instrText xml:space="preserve"> HYPERLINK \l "_Toc24326" </w:instrText>
      </w:r>
      <w:r>
        <w:fldChar w:fldCharType="separate"/>
      </w:r>
      <w:r>
        <w:rPr>
          <w:bCs/>
          <w:kern w:val="0"/>
        </w:rPr>
        <w:t>三、响应文件</w:t>
      </w:r>
      <w:r>
        <w:tab/>
      </w:r>
      <w:r>
        <w:fldChar w:fldCharType="begin"/>
      </w:r>
      <w:r>
        <w:instrText xml:space="preserve"> PAGEREF _Toc24326 \h </w:instrText>
      </w:r>
      <w:r>
        <w:fldChar w:fldCharType="separate"/>
      </w:r>
      <w:r>
        <w:t>6</w:t>
      </w:r>
      <w:r>
        <w:fldChar w:fldCharType="end"/>
      </w:r>
      <w:r>
        <w:fldChar w:fldCharType="end"/>
      </w:r>
    </w:p>
    <w:p>
      <w:pPr>
        <w:pStyle w:val="25"/>
        <w:tabs>
          <w:tab w:val="right" w:leader="dot" w:pos="8313"/>
        </w:tabs>
        <w:snapToGrid w:val="0"/>
        <w:spacing w:line="360" w:lineRule="auto"/>
      </w:pPr>
      <w:r>
        <w:fldChar w:fldCharType="begin"/>
      </w:r>
      <w:r>
        <w:instrText xml:space="preserve"> HYPERLINK \l "_Toc30684" </w:instrText>
      </w:r>
      <w:r>
        <w:fldChar w:fldCharType="separate"/>
      </w:r>
      <w:r>
        <w:rPr>
          <w:bCs/>
          <w:kern w:val="0"/>
        </w:rPr>
        <w:t>四、响应文件的递交</w:t>
      </w:r>
      <w:r>
        <w:tab/>
      </w:r>
      <w:r>
        <w:fldChar w:fldCharType="begin"/>
      </w:r>
      <w:r>
        <w:instrText xml:space="preserve"> PAGEREF _Toc30684 \h </w:instrText>
      </w:r>
      <w:r>
        <w:fldChar w:fldCharType="separate"/>
      </w:r>
      <w:r>
        <w:t>9</w:t>
      </w:r>
      <w:r>
        <w:fldChar w:fldCharType="end"/>
      </w:r>
      <w:r>
        <w:fldChar w:fldCharType="end"/>
      </w:r>
    </w:p>
    <w:p>
      <w:pPr>
        <w:pStyle w:val="25"/>
        <w:tabs>
          <w:tab w:val="right" w:leader="dot" w:pos="8313"/>
        </w:tabs>
        <w:snapToGrid w:val="0"/>
        <w:spacing w:line="360" w:lineRule="auto"/>
      </w:pPr>
      <w:r>
        <w:fldChar w:fldCharType="begin"/>
      </w:r>
      <w:r>
        <w:instrText xml:space="preserve"> HYPERLINK \l "_Toc14348" </w:instrText>
      </w:r>
      <w:r>
        <w:fldChar w:fldCharType="separate"/>
      </w:r>
      <w:r>
        <w:rPr>
          <w:bCs/>
          <w:kern w:val="0"/>
        </w:rPr>
        <w:t>五、磋商程序</w:t>
      </w:r>
      <w:r>
        <w:tab/>
      </w:r>
      <w:r>
        <w:fldChar w:fldCharType="begin"/>
      </w:r>
      <w:r>
        <w:instrText xml:space="preserve"> PAGEREF _Toc14348 \h </w:instrText>
      </w:r>
      <w:r>
        <w:fldChar w:fldCharType="separate"/>
      </w:r>
      <w:r>
        <w:t>10</w:t>
      </w:r>
      <w:r>
        <w:fldChar w:fldCharType="end"/>
      </w:r>
      <w:r>
        <w:fldChar w:fldCharType="end"/>
      </w:r>
    </w:p>
    <w:p>
      <w:pPr>
        <w:pStyle w:val="25"/>
        <w:tabs>
          <w:tab w:val="right" w:leader="dot" w:pos="8313"/>
        </w:tabs>
        <w:snapToGrid w:val="0"/>
        <w:spacing w:line="360" w:lineRule="auto"/>
      </w:pPr>
      <w:r>
        <w:fldChar w:fldCharType="begin"/>
      </w:r>
      <w:r>
        <w:instrText xml:space="preserve"> HYPERLINK \l "_Toc17425" </w:instrText>
      </w:r>
      <w:r>
        <w:fldChar w:fldCharType="separate"/>
      </w:r>
      <w:r>
        <w:rPr>
          <w:bCs/>
          <w:kern w:val="0"/>
        </w:rPr>
        <w:t>六、签订合同</w:t>
      </w:r>
      <w:r>
        <w:tab/>
      </w:r>
      <w:r>
        <w:fldChar w:fldCharType="begin"/>
      </w:r>
      <w:r>
        <w:instrText xml:space="preserve"> PAGEREF _Toc17425 \h </w:instrText>
      </w:r>
      <w:r>
        <w:fldChar w:fldCharType="separate"/>
      </w:r>
      <w:r>
        <w:t>18</w:t>
      </w:r>
      <w:r>
        <w:fldChar w:fldCharType="end"/>
      </w:r>
      <w:r>
        <w:fldChar w:fldCharType="end"/>
      </w:r>
    </w:p>
    <w:p>
      <w:pPr>
        <w:pStyle w:val="25"/>
        <w:tabs>
          <w:tab w:val="right" w:leader="dot" w:pos="8313"/>
        </w:tabs>
        <w:snapToGrid w:val="0"/>
        <w:spacing w:line="360" w:lineRule="auto"/>
      </w:pPr>
      <w:r>
        <w:fldChar w:fldCharType="begin"/>
      </w:r>
      <w:r>
        <w:instrText xml:space="preserve"> HYPERLINK \l "_Toc13362" </w:instrText>
      </w:r>
      <w:r>
        <w:fldChar w:fldCharType="separate"/>
      </w:r>
      <w:r>
        <w:rPr>
          <w:bCs/>
          <w:kern w:val="0"/>
        </w:rPr>
        <w:t>七、保密和披露</w:t>
      </w:r>
      <w:bookmarkStart w:id="83" w:name="_GoBack"/>
      <w:bookmarkEnd w:id="83"/>
      <w:r>
        <w:tab/>
      </w:r>
      <w:r>
        <w:fldChar w:fldCharType="begin"/>
      </w:r>
      <w:r>
        <w:instrText xml:space="preserve"> PAGEREF _Toc13362 \h </w:instrText>
      </w:r>
      <w:r>
        <w:fldChar w:fldCharType="separate"/>
      </w:r>
      <w:r>
        <w:t>19</w:t>
      </w:r>
      <w:r>
        <w:fldChar w:fldCharType="end"/>
      </w:r>
      <w:r>
        <w:fldChar w:fldCharType="end"/>
      </w:r>
    </w:p>
    <w:p>
      <w:pPr>
        <w:pStyle w:val="25"/>
        <w:tabs>
          <w:tab w:val="right" w:leader="dot" w:pos="8313"/>
        </w:tabs>
        <w:snapToGrid w:val="0"/>
        <w:spacing w:line="360" w:lineRule="auto"/>
      </w:pPr>
      <w:r>
        <w:fldChar w:fldCharType="begin"/>
      </w:r>
      <w:r>
        <w:instrText xml:space="preserve"> HYPERLINK \l "_Toc31092" </w:instrText>
      </w:r>
      <w:r>
        <w:fldChar w:fldCharType="separate"/>
      </w:r>
      <w:r>
        <w:rPr>
          <w:bCs/>
          <w:kern w:val="0"/>
        </w:rPr>
        <w:t>八、询问和质疑</w:t>
      </w:r>
      <w:r>
        <w:tab/>
      </w:r>
      <w:r>
        <w:fldChar w:fldCharType="begin"/>
      </w:r>
      <w:r>
        <w:instrText xml:space="preserve"> PAGEREF _Toc31092 \h </w:instrText>
      </w:r>
      <w:r>
        <w:fldChar w:fldCharType="separate"/>
      </w:r>
      <w:r>
        <w:t>20</w:t>
      </w:r>
      <w:r>
        <w:fldChar w:fldCharType="end"/>
      </w:r>
      <w:r>
        <w:fldChar w:fldCharType="end"/>
      </w:r>
    </w:p>
    <w:p>
      <w:pPr>
        <w:pStyle w:val="25"/>
        <w:tabs>
          <w:tab w:val="right" w:leader="dot" w:pos="8313"/>
        </w:tabs>
        <w:snapToGrid w:val="0"/>
        <w:spacing w:line="360" w:lineRule="auto"/>
      </w:pPr>
      <w:r>
        <w:fldChar w:fldCharType="begin"/>
      </w:r>
      <w:r>
        <w:instrText xml:space="preserve"> HYPERLINK \l "_Toc12850" </w:instrText>
      </w:r>
      <w:r>
        <w:fldChar w:fldCharType="separate"/>
      </w:r>
      <w:r>
        <w:rPr>
          <w:bCs/>
          <w:kern w:val="0"/>
        </w:rPr>
        <w:t>九、违约处罚</w:t>
      </w:r>
      <w:r>
        <w:tab/>
      </w:r>
      <w:r>
        <w:fldChar w:fldCharType="begin"/>
      </w:r>
      <w:r>
        <w:instrText xml:space="preserve"> PAGEREF _Toc12850 \h </w:instrText>
      </w:r>
      <w:r>
        <w:fldChar w:fldCharType="separate"/>
      </w:r>
      <w:r>
        <w:t>21</w:t>
      </w:r>
      <w:r>
        <w:fldChar w:fldCharType="end"/>
      </w:r>
      <w:r>
        <w:fldChar w:fldCharType="end"/>
      </w:r>
    </w:p>
    <w:p>
      <w:pPr>
        <w:pStyle w:val="23"/>
        <w:tabs>
          <w:tab w:val="right" w:leader="dot" w:pos="8313"/>
          <w:tab w:val="clear" w:pos="8303"/>
        </w:tabs>
      </w:pPr>
      <w:r>
        <w:fldChar w:fldCharType="begin"/>
      </w:r>
      <w:r>
        <w:instrText xml:space="preserve"> HYPERLINK \l "_Toc21015" </w:instrText>
      </w:r>
      <w:r>
        <w:fldChar w:fldCharType="separate"/>
      </w:r>
      <w:r>
        <w:rPr>
          <w:kern w:val="0"/>
          <w:szCs w:val="32"/>
        </w:rPr>
        <w:t>第三部分  商务、技术要求</w:t>
      </w:r>
      <w:r>
        <w:tab/>
      </w:r>
      <w:r>
        <w:fldChar w:fldCharType="begin"/>
      </w:r>
      <w:r>
        <w:instrText xml:space="preserve"> PAGEREF _Toc21015 \h </w:instrText>
      </w:r>
      <w:r>
        <w:fldChar w:fldCharType="separate"/>
      </w:r>
      <w:r>
        <w:t>22</w:t>
      </w:r>
      <w:r>
        <w:fldChar w:fldCharType="end"/>
      </w:r>
      <w:r>
        <w:fldChar w:fldCharType="end"/>
      </w:r>
    </w:p>
    <w:p>
      <w:pPr>
        <w:pStyle w:val="23"/>
        <w:tabs>
          <w:tab w:val="right" w:leader="dot" w:pos="8313"/>
          <w:tab w:val="clear" w:pos="8303"/>
        </w:tabs>
      </w:pPr>
      <w:r>
        <w:fldChar w:fldCharType="begin"/>
      </w:r>
      <w:r>
        <w:instrText xml:space="preserve"> HYPERLINK \l "_Toc10488" </w:instrText>
      </w:r>
      <w:r>
        <w:fldChar w:fldCharType="separate"/>
      </w:r>
      <w:r>
        <w:rPr>
          <w:kern w:val="0"/>
          <w:szCs w:val="32"/>
        </w:rPr>
        <w:t>第四部分  合同原则</w:t>
      </w:r>
      <w:r>
        <w:tab/>
      </w:r>
      <w:r>
        <w:fldChar w:fldCharType="begin"/>
      </w:r>
      <w:r>
        <w:instrText xml:space="preserve"> PAGEREF _Toc10488 \h </w:instrText>
      </w:r>
      <w:r>
        <w:fldChar w:fldCharType="separate"/>
      </w:r>
      <w:r>
        <w:t>24</w:t>
      </w:r>
      <w:r>
        <w:fldChar w:fldCharType="end"/>
      </w:r>
      <w:r>
        <w:fldChar w:fldCharType="end"/>
      </w:r>
    </w:p>
    <w:p>
      <w:pPr>
        <w:pStyle w:val="23"/>
        <w:tabs>
          <w:tab w:val="right" w:leader="dot" w:pos="8313"/>
          <w:tab w:val="clear" w:pos="8303"/>
        </w:tabs>
      </w:pPr>
      <w:r>
        <w:fldChar w:fldCharType="begin"/>
      </w:r>
      <w:r>
        <w:instrText xml:space="preserve"> HYPERLINK \l "_Toc472" </w:instrText>
      </w:r>
      <w:r>
        <w:fldChar w:fldCharType="separate"/>
      </w:r>
      <w:r>
        <w:rPr>
          <w:kern w:val="0"/>
          <w:szCs w:val="32"/>
        </w:rPr>
        <w:t>第五部分  响应文件格式</w:t>
      </w:r>
      <w:r>
        <w:tab/>
      </w:r>
      <w:r>
        <w:fldChar w:fldCharType="begin"/>
      </w:r>
      <w:r>
        <w:instrText xml:space="preserve"> PAGEREF _Toc472 \h </w:instrText>
      </w:r>
      <w:r>
        <w:fldChar w:fldCharType="separate"/>
      </w:r>
      <w:r>
        <w:t>26</w:t>
      </w:r>
      <w:r>
        <w:fldChar w:fldCharType="end"/>
      </w:r>
      <w:r>
        <w:fldChar w:fldCharType="end"/>
      </w:r>
    </w:p>
    <w:p>
      <w:pPr>
        <w:widowControl/>
        <w:snapToGrid w:val="0"/>
        <w:spacing w:line="360" w:lineRule="auto"/>
        <w:jc w:val="left"/>
        <w:rPr>
          <w:b/>
          <w:bCs/>
          <w:color w:val="000000"/>
          <w:kern w:val="0"/>
          <w:sz w:val="24"/>
        </w:rPr>
      </w:pPr>
      <w:r>
        <w:rPr>
          <w:color w:val="000000"/>
          <w:kern w:val="0"/>
        </w:rPr>
        <w:fldChar w:fldCharType="end"/>
      </w:r>
    </w:p>
    <w:p>
      <w:pPr>
        <w:widowControl/>
        <w:jc w:val="left"/>
        <w:rPr>
          <w:color w:val="000000"/>
          <w:kern w:val="0"/>
          <w:sz w:val="24"/>
        </w:rPr>
      </w:pPr>
    </w:p>
    <w:p>
      <w:pPr>
        <w:widowControl/>
        <w:tabs>
          <w:tab w:val="left" w:pos="2070"/>
          <w:tab w:val="center" w:pos="4365"/>
        </w:tabs>
        <w:snapToGrid w:val="0"/>
        <w:spacing w:line="600" w:lineRule="exact"/>
        <w:jc w:val="center"/>
        <w:rPr>
          <w:color w:val="000000"/>
          <w:kern w:val="0"/>
          <w:sz w:val="32"/>
          <w:szCs w:val="32"/>
        </w:rPr>
        <w:sectPr>
          <w:headerReference r:id="rId5" w:type="default"/>
          <w:footerReference r:id="rId6" w:type="default"/>
          <w:pgSz w:w="11907" w:h="16840"/>
          <w:pgMar w:top="1440" w:right="1797" w:bottom="1440" w:left="1797" w:header="964" w:footer="992" w:gutter="0"/>
          <w:pgNumType w:start="1"/>
          <w:cols w:space="720" w:num="1"/>
        </w:sectPr>
      </w:pPr>
    </w:p>
    <w:p>
      <w:pPr>
        <w:widowControl/>
        <w:tabs>
          <w:tab w:val="left" w:pos="2070"/>
          <w:tab w:val="center" w:pos="4365"/>
        </w:tabs>
        <w:snapToGrid w:val="0"/>
        <w:spacing w:line="360" w:lineRule="auto"/>
        <w:jc w:val="center"/>
        <w:outlineLvl w:val="0"/>
        <w:rPr>
          <w:color w:val="000000"/>
          <w:kern w:val="0"/>
          <w:sz w:val="28"/>
          <w:szCs w:val="32"/>
        </w:rPr>
      </w:pPr>
      <w:bookmarkStart w:id="0" w:name="_Toc20673"/>
      <w:r>
        <w:rPr>
          <w:color w:val="000000"/>
          <w:kern w:val="0"/>
          <w:sz w:val="28"/>
          <w:szCs w:val="32"/>
        </w:rPr>
        <w:t>第一部分  磋商</w:t>
      </w:r>
      <w:bookmarkEnd w:id="0"/>
      <w:r>
        <w:rPr>
          <w:color w:val="000000"/>
          <w:kern w:val="0"/>
          <w:sz w:val="28"/>
          <w:szCs w:val="32"/>
        </w:rPr>
        <w:t>邀请</w:t>
      </w:r>
    </w:p>
    <w:p>
      <w:pPr>
        <w:widowControl/>
        <w:snapToGrid w:val="0"/>
        <w:spacing w:line="360" w:lineRule="auto"/>
        <w:jc w:val="left"/>
        <w:rPr>
          <w:color w:val="000000"/>
          <w:kern w:val="0"/>
          <w:sz w:val="24"/>
        </w:rPr>
      </w:pPr>
      <w:r>
        <w:rPr>
          <w:color w:val="000000"/>
          <w:kern w:val="0"/>
          <w:sz w:val="24"/>
        </w:rPr>
        <w:t>项目概况</w:t>
      </w:r>
    </w:p>
    <w:p>
      <w:pPr>
        <w:widowControl/>
        <w:snapToGrid w:val="0"/>
        <w:spacing w:line="360" w:lineRule="auto"/>
        <w:ind w:firstLine="480" w:firstLineChars="200"/>
        <w:jc w:val="left"/>
        <w:rPr>
          <w:color w:val="000000"/>
          <w:kern w:val="0"/>
          <w:sz w:val="24"/>
        </w:rPr>
      </w:pPr>
      <w:r>
        <w:rPr>
          <w:rFonts w:hint="eastAsia"/>
          <w:color w:val="000000"/>
          <w:kern w:val="0"/>
          <w:sz w:val="24"/>
          <w:lang w:eastAsia="zh-CN"/>
        </w:rPr>
        <w:t>2024年食品安全监督抽检项目</w:t>
      </w:r>
      <w:r>
        <w:rPr>
          <w:color w:val="000000"/>
          <w:kern w:val="0"/>
          <w:sz w:val="24"/>
        </w:rPr>
        <w:t>的潜在供应商应登录中国政府采购网山西分网（</w:t>
      </w:r>
      <w:r>
        <w:fldChar w:fldCharType="begin"/>
      </w:r>
      <w:r>
        <w:instrText xml:space="preserve"> HYPERLINK "http://www.ccgp-shanxi.gov.cn/home.html" </w:instrText>
      </w:r>
      <w:r>
        <w:fldChar w:fldCharType="separate"/>
      </w:r>
      <w:r>
        <w:rPr>
          <w:color w:val="000000"/>
          <w:kern w:val="0"/>
          <w:sz w:val="24"/>
        </w:rPr>
        <w:t>http://www.ccgp-shanxi.gov.cn/home.html</w:t>
      </w:r>
      <w:r>
        <w:rPr>
          <w:color w:val="000000"/>
          <w:kern w:val="0"/>
          <w:sz w:val="24"/>
        </w:rPr>
        <w:fldChar w:fldCharType="end"/>
      </w:r>
      <w:r>
        <w:rPr>
          <w:color w:val="000000"/>
          <w:kern w:val="0"/>
          <w:sz w:val="24"/>
        </w:rPr>
        <w:t>）获取电子磋商文件，使用投标文件编制工具编制电子响应文件，并于2024年</w:t>
      </w:r>
      <w:r>
        <w:rPr>
          <w:rFonts w:hint="eastAsia"/>
          <w:color w:val="000000"/>
          <w:kern w:val="0"/>
          <w:sz w:val="24"/>
          <w:lang w:val="en-US" w:eastAsia="zh-CN"/>
        </w:rPr>
        <w:t>4</w:t>
      </w:r>
      <w:r>
        <w:rPr>
          <w:color w:val="000000"/>
          <w:kern w:val="0"/>
          <w:sz w:val="24"/>
        </w:rPr>
        <w:t>月</w:t>
      </w:r>
      <w:r>
        <w:rPr>
          <w:rFonts w:hint="eastAsia"/>
          <w:color w:val="000000"/>
          <w:kern w:val="0"/>
          <w:sz w:val="24"/>
          <w:lang w:val="en-US" w:eastAsia="zh-CN"/>
        </w:rPr>
        <w:t>23</w:t>
      </w:r>
      <w:r>
        <w:rPr>
          <w:color w:val="000000"/>
          <w:kern w:val="0"/>
          <w:sz w:val="24"/>
        </w:rPr>
        <w:t>日08时30分（北京时间）前提交响应文件。</w:t>
      </w:r>
    </w:p>
    <w:p>
      <w:pPr>
        <w:widowControl/>
        <w:snapToGrid w:val="0"/>
        <w:spacing w:line="360" w:lineRule="auto"/>
        <w:jc w:val="left"/>
        <w:rPr>
          <w:color w:val="000000"/>
          <w:kern w:val="0"/>
          <w:sz w:val="24"/>
        </w:rPr>
      </w:pPr>
      <w:bookmarkStart w:id="1" w:name="_Toc28359012"/>
      <w:bookmarkStart w:id="2" w:name="_Toc35393798"/>
      <w:bookmarkStart w:id="3" w:name="_Toc35393629"/>
      <w:bookmarkStart w:id="4" w:name="_Toc28359089"/>
      <w:r>
        <w:rPr>
          <w:color w:val="000000"/>
          <w:kern w:val="0"/>
          <w:sz w:val="24"/>
        </w:rPr>
        <w:t>一、项目基本情况</w:t>
      </w:r>
      <w:bookmarkEnd w:id="1"/>
      <w:bookmarkEnd w:id="2"/>
      <w:bookmarkEnd w:id="3"/>
      <w:bookmarkEnd w:id="4"/>
    </w:p>
    <w:p>
      <w:pPr>
        <w:widowControl/>
        <w:snapToGrid w:val="0"/>
        <w:spacing w:line="360" w:lineRule="auto"/>
        <w:ind w:firstLine="480" w:firstLineChars="200"/>
        <w:jc w:val="left"/>
        <w:rPr>
          <w:color w:val="000000"/>
          <w:kern w:val="0"/>
          <w:sz w:val="24"/>
        </w:rPr>
      </w:pPr>
      <w:r>
        <w:rPr>
          <w:color w:val="000000"/>
          <w:kern w:val="0"/>
          <w:sz w:val="24"/>
        </w:rPr>
        <w:t>1.项目编号：</w:t>
      </w:r>
      <w:r>
        <w:rPr>
          <w:rFonts w:hint="eastAsia"/>
          <w:color w:val="000000"/>
          <w:kern w:val="0"/>
          <w:sz w:val="24"/>
          <w:lang w:eastAsia="zh-CN"/>
        </w:rPr>
        <w:t>1401062024CCS00032</w:t>
      </w:r>
    </w:p>
    <w:p>
      <w:pPr>
        <w:widowControl/>
        <w:snapToGrid w:val="0"/>
        <w:spacing w:line="360" w:lineRule="auto"/>
        <w:ind w:firstLine="480" w:firstLineChars="200"/>
        <w:jc w:val="left"/>
        <w:rPr>
          <w:rFonts w:hint="eastAsia" w:eastAsia="宋体"/>
          <w:color w:val="000000"/>
          <w:kern w:val="0"/>
          <w:sz w:val="24"/>
          <w:lang w:eastAsia="zh-CN"/>
        </w:rPr>
      </w:pPr>
      <w:r>
        <w:rPr>
          <w:color w:val="000000"/>
          <w:kern w:val="0"/>
          <w:sz w:val="24"/>
        </w:rPr>
        <w:t>2.项目名称：</w:t>
      </w:r>
      <w:r>
        <w:rPr>
          <w:rFonts w:hint="eastAsia"/>
          <w:color w:val="000000"/>
          <w:kern w:val="0"/>
          <w:sz w:val="24"/>
          <w:lang w:eastAsia="zh-CN"/>
        </w:rPr>
        <w:t>2024年食品安全监督抽检项目</w:t>
      </w:r>
    </w:p>
    <w:p>
      <w:pPr>
        <w:widowControl/>
        <w:snapToGrid w:val="0"/>
        <w:spacing w:line="360" w:lineRule="auto"/>
        <w:ind w:firstLine="480" w:firstLineChars="200"/>
        <w:jc w:val="left"/>
        <w:rPr>
          <w:color w:val="000000"/>
          <w:kern w:val="0"/>
          <w:sz w:val="24"/>
        </w:rPr>
      </w:pPr>
      <w:r>
        <w:rPr>
          <w:color w:val="000000"/>
          <w:kern w:val="0"/>
          <w:sz w:val="24"/>
        </w:rPr>
        <w:t>3.采购方式：竞争性磋商</w:t>
      </w:r>
    </w:p>
    <w:p>
      <w:pPr>
        <w:widowControl/>
        <w:snapToGrid w:val="0"/>
        <w:spacing w:line="360" w:lineRule="auto"/>
        <w:ind w:firstLine="480" w:firstLineChars="200"/>
        <w:jc w:val="left"/>
        <w:rPr>
          <w:rFonts w:hint="default" w:ascii="Times New Roman" w:hAnsi="Times New Roman" w:cs="Times New Roman"/>
          <w:color w:val="000000"/>
          <w:kern w:val="0"/>
          <w:sz w:val="24"/>
        </w:rPr>
      </w:pPr>
      <w:r>
        <w:rPr>
          <w:color w:val="000000"/>
          <w:kern w:val="0"/>
          <w:sz w:val="24"/>
        </w:rPr>
        <w:t>4.预算金额：</w:t>
      </w:r>
      <w:r>
        <w:rPr>
          <w:rFonts w:hint="eastAsia" w:cs="Times New Roman"/>
          <w:color w:val="000000"/>
          <w:kern w:val="0"/>
          <w:sz w:val="24"/>
          <w:lang w:val="en-US" w:eastAsia="zh-CN"/>
        </w:rPr>
        <w:t>249</w:t>
      </w:r>
      <w:r>
        <w:rPr>
          <w:rFonts w:hint="default" w:ascii="Times New Roman" w:hAnsi="Times New Roman" w:cs="Times New Roman"/>
          <w:color w:val="000000"/>
          <w:kern w:val="0"/>
          <w:sz w:val="24"/>
        </w:rPr>
        <w:t>万元（包1:</w:t>
      </w:r>
      <w:r>
        <w:rPr>
          <w:rFonts w:hint="eastAsia" w:cs="Times New Roman"/>
          <w:color w:val="000000"/>
          <w:kern w:val="0"/>
          <w:sz w:val="24"/>
          <w:lang w:val="en-US" w:eastAsia="zh-CN"/>
        </w:rPr>
        <w:t>44</w:t>
      </w:r>
      <w:r>
        <w:rPr>
          <w:rFonts w:hint="default" w:ascii="Times New Roman" w:hAnsi="Times New Roman" w:cs="Times New Roman"/>
          <w:color w:val="000000"/>
          <w:kern w:val="0"/>
          <w:sz w:val="24"/>
        </w:rPr>
        <w:t>万元、包2:</w:t>
      </w:r>
      <w:r>
        <w:rPr>
          <w:rFonts w:hint="eastAsia" w:cs="Times New Roman"/>
          <w:color w:val="000000"/>
          <w:kern w:val="0"/>
          <w:sz w:val="24"/>
          <w:lang w:val="en-US" w:eastAsia="zh-CN"/>
        </w:rPr>
        <w:t>44</w:t>
      </w:r>
      <w:r>
        <w:rPr>
          <w:rFonts w:hint="default" w:ascii="Times New Roman" w:hAnsi="Times New Roman" w:cs="Times New Roman"/>
          <w:color w:val="000000"/>
          <w:kern w:val="0"/>
          <w:sz w:val="24"/>
        </w:rPr>
        <w:t>万元、包3:</w:t>
      </w:r>
      <w:r>
        <w:rPr>
          <w:rFonts w:hint="eastAsia" w:cs="Times New Roman"/>
          <w:color w:val="000000"/>
          <w:kern w:val="0"/>
          <w:sz w:val="24"/>
          <w:lang w:val="en-US" w:eastAsia="zh-CN"/>
        </w:rPr>
        <w:t>44</w:t>
      </w:r>
      <w:r>
        <w:rPr>
          <w:rFonts w:hint="default" w:ascii="Times New Roman" w:hAnsi="Times New Roman" w:cs="Times New Roman"/>
          <w:color w:val="000000"/>
          <w:kern w:val="0"/>
          <w:sz w:val="24"/>
        </w:rPr>
        <w:t>万元、包4:</w:t>
      </w:r>
      <w:r>
        <w:rPr>
          <w:rFonts w:hint="eastAsia" w:cs="Times New Roman"/>
          <w:color w:val="000000"/>
          <w:kern w:val="0"/>
          <w:sz w:val="24"/>
          <w:lang w:val="en-US" w:eastAsia="zh-CN"/>
        </w:rPr>
        <w:t>29</w:t>
      </w:r>
      <w:r>
        <w:rPr>
          <w:rFonts w:hint="default" w:ascii="Times New Roman" w:hAnsi="Times New Roman" w:cs="Times New Roman"/>
          <w:color w:val="000000"/>
          <w:kern w:val="0"/>
          <w:sz w:val="24"/>
        </w:rPr>
        <w:t>万元、包5:</w:t>
      </w:r>
      <w:r>
        <w:rPr>
          <w:rFonts w:hint="eastAsia" w:cs="Times New Roman"/>
          <w:color w:val="000000"/>
          <w:kern w:val="0"/>
          <w:sz w:val="24"/>
          <w:lang w:val="en-US" w:eastAsia="zh-CN"/>
        </w:rPr>
        <w:t>29</w:t>
      </w:r>
      <w:r>
        <w:rPr>
          <w:rFonts w:hint="default" w:ascii="Times New Roman" w:hAnsi="Times New Roman" w:cs="Times New Roman"/>
          <w:color w:val="000000"/>
          <w:kern w:val="0"/>
          <w:sz w:val="24"/>
        </w:rPr>
        <w:t>万元、包6:</w:t>
      </w:r>
      <w:r>
        <w:rPr>
          <w:rFonts w:hint="eastAsia" w:cs="Times New Roman"/>
          <w:color w:val="000000"/>
          <w:kern w:val="0"/>
          <w:sz w:val="24"/>
          <w:lang w:val="en-US" w:eastAsia="zh-CN"/>
        </w:rPr>
        <w:t>28</w:t>
      </w:r>
      <w:r>
        <w:rPr>
          <w:rFonts w:hint="default" w:ascii="Times New Roman" w:hAnsi="Times New Roman" w:cs="Times New Roman"/>
          <w:color w:val="000000"/>
          <w:kern w:val="0"/>
          <w:sz w:val="24"/>
        </w:rPr>
        <w:t>万元</w:t>
      </w:r>
      <w:r>
        <w:rPr>
          <w:rFonts w:hint="eastAsia" w:ascii="Times New Roman" w:hAnsi="Times New Roman" w:cs="Times New Roman"/>
          <w:color w:val="000000"/>
          <w:kern w:val="0"/>
          <w:sz w:val="24"/>
          <w:lang w:eastAsia="zh-CN"/>
        </w:rPr>
        <w:t>、</w:t>
      </w:r>
      <w:r>
        <w:rPr>
          <w:rFonts w:hint="eastAsia" w:ascii="Times New Roman" w:hAnsi="Times New Roman" w:cs="Times New Roman"/>
          <w:color w:val="000000"/>
          <w:kern w:val="0"/>
          <w:sz w:val="24"/>
          <w:lang w:val="en-US" w:eastAsia="zh-CN"/>
        </w:rPr>
        <w:t>包7:</w:t>
      </w:r>
      <w:r>
        <w:rPr>
          <w:rFonts w:hint="eastAsia" w:cs="Times New Roman"/>
          <w:color w:val="000000"/>
          <w:kern w:val="0"/>
          <w:sz w:val="24"/>
          <w:lang w:val="en-US" w:eastAsia="zh-CN"/>
        </w:rPr>
        <w:t>20万元</w:t>
      </w:r>
      <w:r>
        <w:rPr>
          <w:rFonts w:hint="eastAsia" w:ascii="Times New Roman" w:hAnsi="Times New Roman" w:cs="Times New Roman"/>
          <w:color w:val="000000"/>
          <w:kern w:val="0"/>
          <w:sz w:val="24"/>
          <w:lang w:eastAsia="zh-CN"/>
        </w:rPr>
        <w:t>、</w:t>
      </w:r>
      <w:r>
        <w:rPr>
          <w:rFonts w:hint="eastAsia" w:ascii="Times New Roman" w:hAnsi="Times New Roman" w:cs="Times New Roman"/>
          <w:color w:val="000000"/>
          <w:kern w:val="0"/>
          <w:sz w:val="24"/>
          <w:lang w:val="en-US" w:eastAsia="zh-CN"/>
        </w:rPr>
        <w:t>包</w:t>
      </w:r>
      <w:r>
        <w:rPr>
          <w:rFonts w:hint="eastAsia" w:cs="Times New Roman"/>
          <w:color w:val="000000"/>
          <w:kern w:val="0"/>
          <w:sz w:val="24"/>
          <w:lang w:val="en-US" w:eastAsia="zh-CN"/>
        </w:rPr>
        <w:t>8</w:t>
      </w:r>
      <w:r>
        <w:rPr>
          <w:rFonts w:hint="eastAsia" w:ascii="Times New Roman" w:hAnsi="Times New Roman" w:cs="Times New Roman"/>
          <w:color w:val="000000"/>
          <w:kern w:val="0"/>
          <w:sz w:val="24"/>
          <w:lang w:val="en-US" w:eastAsia="zh-CN"/>
        </w:rPr>
        <w:t>:</w:t>
      </w:r>
      <w:r>
        <w:rPr>
          <w:rFonts w:hint="eastAsia" w:cs="Times New Roman"/>
          <w:color w:val="000000"/>
          <w:kern w:val="0"/>
          <w:sz w:val="24"/>
          <w:lang w:val="en-US" w:eastAsia="zh-CN"/>
        </w:rPr>
        <w:t>11万元</w:t>
      </w:r>
      <w:r>
        <w:rPr>
          <w:rFonts w:hint="default" w:ascii="Times New Roman" w:hAnsi="Times New Roman" w:cs="Times New Roman"/>
          <w:color w:val="000000"/>
          <w:kern w:val="0"/>
          <w:sz w:val="24"/>
        </w:rPr>
        <w:t>）</w:t>
      </w:r>
    </w:p>
    <w:p>
      <w:pPr>
        <w:widowControl/>
        <w:snapToGrid w:val="0"/>
        <w:spacing w:line="360" w:lineRule="auto"/>
        <w:ind w:firstLine="480" w:firstLineChars="200"/>
        <w:jc w:val="left"/>
        <w:rPr>
          <w:color w:val="000000"/>
          <w:kern w:val="0"/>
          <w:sz w:val="24"/>
        </w:rPr>
      </w:pPr>
      <w:r>
        <w:rPr>
          <w:color w:val="000000"/>
          <w:kern w:val="0"/>
          <w:sz w:val="24"/>
        </w:rPr>
        <w:t>5.最高限价：</w:t>
      </w:r>
      <w:r>
        <w:rPr>
          <w:rFonts w:hint="eastAsia" w:cs="Times New Roman"/>
          <w:color w:val="000000"/>
          <w:kern w:val="0"/>
          <w:sz w:val="24"/>
          <w:lang w:val="en-US" w:eastAsia="zh-CN"/>
        </w:rPr>
        <w:t>249</w:t>
      </w:r>
      <w:r>
        <w:rPr>
          <w:rFonts w:hint="default" w:ascii="Times New Roman" w:hAnsi="Times New Roman" w:cs="Times New Roman"/>
          <w:color w:val="000000"/>
          <w:kern w:val="0"/>
          <w:sz w:val="24"/>
        </w:rPr>
        <w:t>万元（包1:</w:t>
      </w:r>
      <w:r>
        <w:rPr>
          <w:rFonts w:hint="eastAsia" w:cs="Times New Roman"/>
          <w:color w:val="000000"/>
          <w:kern w:val="0"/>
          <w:sz w:val="24"/>
          <w:lang w:val="en-US" w:eastAsia="zh-CN"/>
        </w:rPr>
        <w:t>44</w:t>
      </w:r>
      <w:r>
        <w:rPr>
          <w:rFonts w:hint="default" w:ascii="Times New Roman" w:hAnsi="Times New Roman" w:cs="Times New Roman"/>
          <w:color w:val="000000"/>
          <w:kern w:val="0"/>
          <w:sz w:val="24"/>
        </w:rPr>
        <w:t>万元、包2:</w:t>
      </w:r>
      <w:r>
        <w:rPr>
          <w:rFonts w:hint="eastAsia" w:cs="Times New Roman"/>
          <w:color w:val="000000"/>
          <w:kern w:val="0"/>
          <w:sz w:val="24"/>
          <w:lang w:val="en-US" w:eastAsia="zh-CN"/>
        </w:rPr>
        <w:t>44</w:t>
      </w:r>
      <w:r>
        <w:rPr>
          <w:rFonts w:hint="default" w:ascii="Times New Roman" w:hAnsi="Times New Roman" w:cs="Times New Roman"/>
          <w:color w:val="000000"/>
          <w:kern w:val="0"/>
          <w:sz w:val="24"/>
        </w:rPr>
        <w:t>万元、包3:</w:t>
      </w:r>
      <w:r>
        <w:rPr>
          <w:rFonts w:hint="eastAsia" w:cs="Times New Roman"/>
          <w:color w:val="000000"/>
          <w:kern w:val="0"/>
          <w:sz w:val="24"/>
          <w:lang w:val="en-US" w:eastAsia="zh-CN"/>
        </w:rPr>
        <w:t>44</w:t>
      </w:r>
      <w:r>
        <w:rPr>
          <w:rFonts w:hint="default" w:ascii="Times New Roman" w:hAnsi="Times New Roman" w:cs="Times New Roman"/>
          <w:color w:val="000000"/>
          <w:kern w:val="0"/>
          <w:sz w:val="24"/>
        </w:rPr>
        <w:t>万元、包4:</w:t>
      </w:r>
      <w:r>
        <w:rPr>
          <w:rFonts w:hint="eastAsia" w:cs="Times New Roman"/>
          <w:color w:val="000000"/>
          <w:kern w:val="0"/>
          <w:sz w:val="24"/>
          <w:lang w:val="en-US" w:eastAsia="zh-CN"/>
        </w:rPr>
        <w:t>29</w:t>
      </w:r>
      <w:r>
        <w:rPr>
          <w:rFonts w:hint="default" w:ascii="Times New Roman" w:hAnsi="Times New Roman" w:cs="Times New Roman"/>
          <w:color w:val="000000"/>
          <w:kern w:val="0"/>
          <w:sz w:val="24"/>
        </w:rPr>
        <w:t>万元、包5:</w:t>
      </w:r>
      <w:r>
        <w:rPr>
          <w:rFonts w:hint="eastAsia" w:cs="Times New Roman"/>
          <w:color w:val="000000"/>
          <w:kern w:val="0"/>
          <w:sz w:val="24"/>
          <w:lang w:val="en-US" w:eastAsia="zh-CN"/>
        </w:rPr>
        <w:t>29</w:t>
      </w:r>
      <w:r>
        <w:rPr>
          <w:rFonts w:hint="default" w:ascii="Times New Roman" w:hAnsi="Times New Roman" w:cs="Times New Roman"/>
          <w:color w:val="000000"/>
          <w:kern w:val="0"/>
          <w:sz w:val="24"/>
        </w:rPr>
        <w:t>万元、包6:</w:t>
      </w:r>
      <w:r>
        <w:rPr>
          <w:rFonts w:hint="eastAsia" w:cs="Times New Roman"/>
          <w:color w:val="000000"/>
          <w:kern w:val="0"/>
          <w:sz w:val="24"/>
          <w:lang w:val="en-US" w:eastAsia="zh-CN"/>
        </w:rPr>
        <w:t>28</w:t>
      </w:r>
      <w:r>
        <w:rPr>
          <w:rFonts w:hint="default" w:ascii="Times New Roman" w:hAnsi="Times New Roman" w:cs="Times New Roman"/>
          <w:color w:val="000000"/>
          <w:kern w:val="0"/>
          <w:sz w:val="24"/>
        </w:rPr>
        <w:t>万元</w:t>
      </w:r>
      <w:r>
        <w:rPr>
          <w:rFonts w:hint="eastAsia" w:ascii="Times New Roman" w:hAnsi="Times New Roman" w:cs="Times New Roman"/>
          <w:color w:val="000000"/>
          <w:kern w:val="0"/>
          <w:sz w:val="24"/>
          <w:lang w:eastAsia="zh-CN"/>
        </w:rPr>
        <w:t>、</w:t>
      </w:r>
      <w:r>
        <w:rPr>
          <w:rFonts w:hint="eastAsia" w:ascii="Times New Roman" w:hAnsi="Times New Roman" w:cs="Times New Roman"/>
          <w:color w:val="000000"/>
          <w:kern w:val="0"/>
          <w:sz w:val="24"/>
          <w:lang w:val="en-US" w:eastAsia="zh-CN"/>
        </w:rPr>
        <w:t>包7:</w:t>
      </w:r>
      <w:r>
        <w:rPr>
          <w:rFonts w:hint="eastAsia" w:cs="Times New Roman"/>
          <w:color w:val="000000"/>
          <w:kern w:val="0"/>
          <w:sz w:val="24"/>
          <w:lang w:val="en-US" w:eastAsia="zh-CN"/>
        </w:rPr>
        <w:t>20万元</w:t>
      </w:r>
      <w:r>
        <w:rPr>
          <w:rFonts w:hint="eastAsia" w:ascii="Times New Roman" w:hAnsi="Times New Roman" w:cs="Times New Roman"/>
          <w:color w:val="000000"/>
          <w:kern w:val="0"/>
          <w:sz w:val="24"/>
          <w:lang w:eastAsia="zh-CN"/>
        </w:rPr>
        <w:t>、</w:t>
      </w:r>
      <w:r>
        <w:rPr>
          <w:rFonts w:hint="eastAsia" w:ascii="Times New Roman" w:hAnsi="Times New Roman" w:cs="Times New Roman"/>
          <w:color w:val="000000"/>
          <w:kern w:val="0"/>
          <w:sz w:val="24"/>
          <w:lang w:val="en-US" w:eastAsia="zh-CN"/>
        </w:rPr>
        <w:t>包</w:t>
      </w:r>
      <w:r>
        <w:rPr>
          <w:rFonts w:hint="eastAsia" w:cs="Times New Roman"/>
          <w:color w:val="000000"/>
          <w:kern w:val="0"/>
          <w:sz w:val="24"/>
          <w:lang w:val="en-US" w:eastAsia="zh-CN"/>
        </w:rPr>
        <w:t>8</w:t>
      </w:r>
      <w:r>
        <w:rPr>
          <w:rFonts w:hint="eastAsia" w:ascii="Times New Roman" w:hAnsi="Times New Roman" w:cs="Times New Roman"/>
          <w:color w:val="000000"/>
          <w:kern w:val="0"/>
          <w:sz w:val="24"/>
          <w:lang w:val="en-US" w:eastAsia="zh-CN"/>
        </w:rPr>
        <w:t>:</w:t>
      </w:r>
      <w:r>
        <w:rPr>
          <w:rFonts w:hint="eastAsia" w:cs="Times New Roman"/>
          <w:color w:val="000000"/>
          <w:kern w:val="0"/>
          <w:sz w:val="24"/>
          <w:lang w:val="en-US" w:eastAsia="zh-CN"/>
        </w:rPr>
        <w:t>11万元</w:t>
      </w:r>
      <w:r>
        <w:rPr>
          <w:rFonts w:hint="default" w:ascii="Times New Roman" w:hAnsi="Times New Roman" w:cs="Times New Roman"/>
          <w:color w:val="000000"/>
          <w:kern w:val="0"/>
          <w:sz w:val="24"/>
        </w:rPr>
        <w:t>）</w:t>
      </w:r>
    </w:p>
    <w:p>
      <w:pPr>
        <w:widowControl/>
        <w:snapToGrid w:val="0"/>
        <w:spacing w:line="360" w:lineRule="auto"/>
        <w:ind w:firstLine="480" w:firstLineChars="200"/>
        <w:jc w:val="left"/>
        <w:rPr>
          <w:color w:val="000000"/>
          <w:kern w:val="0"/>
          <w:sz w:val="24"/>
        </w:rPr>
      </w:pPr>
      <w:r>
        <w:rPr>
          <w:color w:val="000000"/>
          <w:kern w:val="0"/>
          <w:sz w:val="24"/>
        </w:rPr>
        <w:t>6采购需求：</w:t>
      </w:r>
    </w:p>
    <w:p>
      <w:pPr>
        <w:pStyle w:val="65"/>
        <w:snapToGrid w:val="0"/>
        <w:ind w:firstLine="480"/>
        <w:rPr>
          <w:rFonts w:hint="default" w:ascii="Times New Roman" w:hAnsi="Times New Roman" w:eastAsia="宋体"/>
          <w:sz w:val="24"/>
        </w:rPr>
      </w:pPr>
      <w:r>
        <w:rPr>
          <w:rFonts w:hint="eastAsia" w:ascii="Times New Roman" w:hAnsi="Times New Roman" w:eastAsia="宋体"/>
          <w:sz w:val="24"/>
          <w:lang w:val="en-US" w:eastAsia="zh-CN"/>
        </w:rPr>
        <w:t>6.1</w:t>
      </w:r>
      <w:r>
        <w:rPr>
          <w:rFonts w:hint="default" w:ascii="Times New Roman" w:hAnsi="Times New Roman" w:eastAsia="宋体"/>
          <w:sz w:val="24"/>
        </w:rPr>
        <w:t>本项目共计</w:t>
      </w:r>
      <w:r>
        <w:rPr>
          <w:rFonts w:hint="eastAsia" w:ascii="Times New Roman" w:hAnsi="Times New Roman" w:eastAsia="宋体"/>
          <w:sz w:val="24"/>
          <w:lang w:val="en-US" w:eastAsia="zh-CN"/>
        </w:rPr>
        <w:t>8</w:t>
      </w:r>
      <w:r>
        <w:rPr>
          <w:rFonts w:hint="default" w:ascii="Times New Roman" w:hAnsi="Times New Roman" w:eastAsia="宋体"/>
          <w:sz w:val="24"/>
        </w:rPr>
        <w:t>个包，供应商可同时参与多个包或任意一个包的</w:t>
      </w:r>
      <w:r>
        <w:rPr>
          <w:rFonts w:hint="eastAsia" w:ascii="Times New Roman" w:hAnsi="Times New Roman" w:eastAsia="宋体"/>
          <w:sz w:val="24"/>
          <w:lang w:val="en-US" w:eastAsia="zh-CN"/>
        </w:rPr>
        <w:t>磋商</w:t>
      </w:r>
      <w:r>
        <w:rPr>
          <w:rFonts w:hint="default" w:ascii="Times New Roman" w:hAnsi="Times New Roman" w:eastAsia="宋体"/>
          <w:sz w:val="24"/>
        </w:rPr>
        <w:t>。同一供应商只允许按照包号顺序由小到大中标1个包，可参加后面包的评审，不参加排序，以此类推，可以兼投不可兼中。</w:t>
      </w:r>
    </w:p>
    <w:tbl>
      <w:tblPr>
        <w:tblStyle w:val="31"/>
        <w:tblW w:w="7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797"/>
        <w:gridCol w:w="952"/>
        <w:gridCol w:w="180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Align w:val="center"/>
          </w:tcPr>
          <w:p>
            <w:pPr>
              <w:widowControl/>
              <w:snapToGrid w:val="0"/>
              <w:jc w:val="center"/>
              <w:textAlignment w:val="center"/>
              <w:rPr>
                <w:rFonts w:hint="eastAsia"/>
                <w:color w:val="000000"/>
                <w:kern w:val="0"/>
                <w:sz w:val="18"/>
                <w:szCs w:val="18"/>
              </w:rPr>
            </w:pPr>
            <w:r>
              <w:rPr>
                <w:rFonts w:hint="eastAsia"/>
                <w:color w:val="000000"/>
                <w:kern w:val="0"/>
                <w:sz w:val="18"/>
                <w:szCs w:val="18"/>
              </w:rPr>
              <w:t>包号</w:t>
            </w:r>
          </w:p>
        </w:tc>
        <w:tc>
          <w:tcPr>
            <w:tcW w:w="2797" w:type="dxa"/>
            <w:vAlign w:val="center"/>
          </w:tcPr>
          <w:p>
            <w:pPr>
              <w:widowControl/>
              <w:snapToGrid w:val="0"/>
              <w:jc w:val="center"/>
              <w:textAlignment w:val="center"/>
              <w:rPr>
                <w:rFonts w:hint="eastAsia"/>
                <w:color w:val="000000"/>
                <w:kern w:val="0"/>
                <w:sz w:val="18"/>
                <w:szCs w:val="18"/>
                <w:lang w:eastAsia="zh-CN"/>
              </w:rPr>
            </w:pPr>
            <w:r>
              <w:rPr>
                <w:rFonts w:hint="eastAsia"/>
                <w:color w:val="000000"/>
                <w:kern w:val="0"/>
                <w:sz w:val="18"/>
                <w:szCs w:val="18"/>
              </w:rPr>
              <w:t>抽检类别</w:t>
            </w:r>
            <w:r>
              <w:rPr>
                <w:rFonts w:hint="eastAsia"/>
                <w:color w:val="000000"/>
                <w:kern w:val="0"/>
                <w:sz w:val="18"/>
                <w:szCs w:val="18"/>
                <w:lang w:eastAsia="zh-CN"/>
              </w:rPr>
              <w:t>（</w:t>
            </w:r>
            <w:r>
              <w:rPr>
                <w:rFonts w:hint="eastAsia"/>
                <w:color w:val="000000"/>
                <w:kern w:val="0"/>
                <w:sz w:val="18"/>
                <w:szCs w:val="18"/>
                <w:lang w:val="en-US" w:eastAsia="zh-CN"/>
              </w:rPr>
              <w:t>详见磋商文件</w:t>
            </w:r>
            <w:r>
              <w:rPr>
                <w:rFonts w:hint="eastAsia"/>
                <w:color w:val="000000"/>
                <w:kern w:val="0"/>
                <w:sz w:val="18"/>
                <w:szCs w:val="18"/>
                <w:lang w:eastAsia="zh-CN"/>
              </w:rPr>
              <w:t>）</w:t>
            </w:r>
          </w:p>
        </w:tc>
        <w:tc>
          <w:tcPr>
            <w:tcW w:w="952" w:type="dxa"/>
            <w:vAlign w:val="center"/>
          </w:tcPr>
          <w:p>
            <w:pPr>
              <w:widowControl/>
              <w:snapToGrid w:val="0"/>
              <w:jc w:val="center"/>
              <w:textAlignment w:val="center"/>
              <w:rPr>
                <w:rFonts w:hint="eastAsia"/>
                <w:color w:val="000000"/>
                <w:kern w:val="0"/>
                <w:sz w:val="18"/>
                <w:szCs w:val="18"/>
              </w:rPr>
            </w:pPr>
            <w:r>
              <w:rPr>
                <w:rFonts w:hint="eastAsia"/>
                <w:color w:val="000000"/>
                <w:kern w:val="0"/>
                <w:sz w:val="18"/>
                <w:szCs w:val="18"/>
              </w:rPr>
              <w:t>抽检批次</w:t>
            </w:r>
          </w:p>
        </w:tc>
        <w:tc>
          <w:tcPr>
            <w:tcW w:w="1800" w:type="dxa"/>
            <w:vAlign w:val="center"/>
          </w:tcPr>
          <w:p>
            <w:pPr>
              <w:widowControl/>
              <w:snapToGrid w:val="0"/>
              <w:jc w:val="center"/>
              <w:textAlignment w:val="center"/>
              <w:rPr>
                <w:rFonts w:hint="eastAsia"/>
                <w:color w:val="000000"/>
                <w:kern w:val="0"/>
                <w:sz w:val="18"/>
                <w:szCs w:val="18"/>
              </w:rPr>
            </w:pPr>
            <w:r>
              <w:rPr>
                <w:rFonts w:hint="eastAsia"/>
                <w:color w:val="000000"/>
                <w:kern w:val="0"/>
                <w:sz w:val="18"/>
                <w:szCs w:val="18"/>
              </w:rPr>
              <w:t>抽查区域</w:t>
            </w:r>
          </w:p>
        </w:tc>
        <w:tc>
          <w:tcPr>
            <w:tcW w:w="770" w:type="dxa"/>
            <w:vAlign w:val="center"/>
          </w:tcPr>
          <w:p>
            <w:pPr>
              <w:widowControl/>
              <w:snapToGrid w:val="0"/>
              <w:jc w:val="center"/>
              <w:textAlignment w:val="center"/>
              <w:rPr>
                <w:rFonts w:hint="eastAsia"/>
                <w:color w:val="000000"/>
                <w:kern w:val="0"/>
                <w:sz w:val="18"/>
                <w:szCs w:val="18"/>
              </w:rPr>
            </w:pPr>
            <w:r>
              <w:rPr>
                <w:rFonts w:hint="eastAsia"/>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1</w:t>
            </w:r>
          </w:p>
        </w:tc>
        <w:tc>
          <w:tcPr>
            <w:tcW w:w="2797" w:type="dxa"/>
            <w:vAlign w:val="center"/>
          </w:tcPr>
          <w:p>
            <w:pPr>
              <w:widowControl/>
              <w:snapToGrid w:val="0"/>
              <w:jc w:val="center"/>
              <w:textAlignment w:val="center"/>
              <w:rPr>
                <w:rFonts w:hint="default"/>
                <w:color w:val="000000"/>
                <w:kern w:val="0"/>
                <w:sz w:val="18"/>
                <w:szCs w:val="18"/>
                <w:lang w:val="en-US" w:eastAsia="zh-CN"/>
              </w:rPr>
            </w:pPr>
            <w:r>
              <w:rPr>
                <w:rFonts w:hint="eastAsia"/>
                <w:color w:val="000000"/>
                <w:kern w:val="0"/>
                <w:sz w:val="18"/>
                <w:szCs w:val="18"/>
                <w:lang w:val="en-US" w:eastAsia="zh-CN"/>
              </w:rPr>
              <w:t>食用农产品</w:t>
            </w:r>
          </w:p>
        </w:tc>
        <w:tc>
          <w:tcPr>
            <w:tcW w:w="952"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416批次</w:t>
            </w:r>
          </w:p>
        </w:tc>
        <w:tc>
          <w:tcPr>
            <w:tcW w:w="1800"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迎泽区</w:t>
            </w:r>
          </w:p>
        </w:tc>
        <w:tc>
          <w:tcPr>
            <w:tcW w:w="770" w:type="dxa"/>
            <w:vAlign w:val="center"/>
          </w:tcPr>
          <w:p>
            <w:pPr>
              <w:widowControl/>
              <w:snapToGrid w:val="0"/>
              <w:jc w:val="center"/>
              <w:textAlignment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2</w:t>
            </w:r>
          </w:p>
        </w:tc>
        <w:tc>
          <w:tcPr>
            <w:tcW w:w="2797"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食用农产品</w:t>
            </w:r>
          </w:p>
        </w:tc>
        <w:tc>
          <w:tcPr>
            <w:tcW w:w="952"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416批次</w:t>
            </w:r>
          </w:p>
        </w:tc>
        <w:tc>
          <w:tcPr>
            <w:tcW w:w="1800"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迎泽区</w:t>
            </w:r>
          </w:p>
        </w:tc>
        <w:tc>
          <w:tcPr>
            <w:tcW w:w="770" w:type="dxa"/>
            <w:vAlign w:val="center"/>
          </w:tcPr>
          <w:p>
            <w:pPr>
              <w:widowControl/>
              <w:snapToGrid w:val="0"/>
              <w:jc w:val="center"/>
              <w:textAlignment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3</w:t>
            </w:r>
          </w:p>
        </w:tc>
        <w:tc>
          <w:tcPr>
            <w:tcW w:w="2797"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食用农产品</w:t>
            </w:r>
          </w:p>
        </w:tc>
        <w:tc>
          <w:tcPr>
            <w:tcW w:w="952"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416批次</w:t>
            </w:r>
          </w:p>
        </w:tc>
        <w:tc>
          <w:tcPr>
            <w:tcW w:w="1800"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迎泽区</w:t>
            </w:r>
          </w:p>
        </w:tc>
        <w:tc>
          <w:tcPr>
            <w:tcW w:w="770" w:type="dxa"/>
            <w:vAlign w:val="center"/>
          </w:tcPr>
          <w:p>
            <w:pPr>
              <w:widowControl/>
              <w:snapToGrid w:val="0"/>
              <w:jc w:val="center"/>
              <w:textAlignment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4</w:t>
            </w:r>
          </w:p>
        </w:tc>
        <w:tc>
          <w:tcPr>
            <w:tcW w:w="2797"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普通食品（一）</w:t>
            </w:r>
          </w:p>
        </w:tc>
        <w:tc>
          <w:tcPr>
            <w:tcW w:w="952"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244批次</w:t>
            </w:r>
          </w:p>
        </w:tc>
        <w:tc>
          <w:tcPr>
            <w:tcW w:w="1800"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迎泽区</w:t>
            </w:r>
          </w:p>
        </w:tc>
        <w:tc>
          <w:tcPr>
            <w:tcW w:w="770" w:type="dxa"/>
            <w:vAlign w:val="center"/>
          </w:tcPr>
          <w:p>
            <w:pPr>
              <w:widowControl/>
              <w:snapToGrid w:val="0"/>
              <w:jc w:val="center"/>
              <w:textAlignment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5</w:t>
            </w:r>
          </w:p>
        </w:tc>
        <w:tc>
          <w:tcPr>
            <w:tcW w:w="2797"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普通食品（二）</w:t>
            </w:r>
          </w:p>
        </w:tc>
        <w:tc>
          <w:tcPr>
            <w:tcW w:w="952"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247批次</w:t>
            </w:r>
          </w:p>
        </w:tc>
        <w:tc>
          <w:tcPr>
            <w:tcW w:w="1800"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迎泽区</w:t>
            </w:r>
          </w:p>
        </w:tc>
        <w:tc>
          <w:tcPr>
            <w:tcW w:w="770" w:type="dxa"/>
            <w:vAlign w:val="center"/>
          </w:tcPr>
          <w:p>
            <w:pPr>
              <w:widowControl/>
              <w:snapToGrid w:val="0"/>
              <w:jc w:val="center"/>
              <w:textAlignment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6</w:t>
            </w:r>
          </w:p>
        </w:tc>
        <w:tc>
          <w:tcPr>
            <w:tcW w:w="2797"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普通食品（三）</w:t>
            </w:r>
          </w:p>
        </w:tc>
        <w:tc>
          <w:tcPr>
            <w:tcW w:w="952"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247批次</w:t>
            </w:r>
          </w:p>
        </w:tc>
        <w:tc>
          <w:tcPr>
            <w:tcW w:w="1800"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迎泽区</w:t>
            </w:r>
          </w:p>
        </w:tc>
        <w:tc>
          <w:tcPr>
            <w:tcW w:w="770" w:type="dxa"/>
            <w:vAlign w:val="center"/>
          </w:tcPr>
          <w:p>
            <w:pPr>
              <w:widowControl/>
              <w:snapToGrid w:val="0"/>
              <w:jc w:val="center"/>
              <w:textAlignment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7</w:t>
            </w:r>
          </w:p>
        </w:tc>
        <w:tc>
          <w:tcPr>
            <w:tcW w:w="2797"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你点我检</w:t>
            </w:r>
          </w:p>
        </w:tc>
        <w:tc>
          <w:tcPr>
            <w:tcW w:w="952"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180批次</w:t>
            </w:r>
          </w:p>
        </w:tc>
        <w:tc>
          <w:tcPr>
            <w:tcW w:w="1800"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迎泽区</w:t>
            </w:r>
          </w:p>
        </w:tc>
        <w:tc>
          <w:tcPr>
            <w:tcW w:w="770" w:type="dxa"/>
            <w:vAlign w:val="center"/>
          </w:tcPr>
          <w:p>
            <w:pPr>
              <w:widowControl/>
              <w:snapToGrid w:val="0"/>
              <w:jc w:val="center"/>
              <w:textAlignment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8</w:t>
            </w:r>
          </w:p>
        </w:tc>
        <w:tc>
          <w:tcPr>
            <w:tcW w:w="2797"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餐饮具消毒</w:t>
            </w:r>
          </w:p>
        </w:tc>
        <w:tc>
          <w:tcPr>
            <w:tcW w:w="952" w:type="dxa"/>
            <w:vAlign w:val="center"/>
          </w:tcPr>
          <w:p>
            <w:pPr>
              <w:widowControl/>
              <w:snapToGrid w:val="0"/>
              <w:jc w:val="center"/>
              <w:textAlignment w:val="center"/>
              <w:rPr>
                <w:rFonts w:hint="default"/>
                <w:color w:val="000000"/>
                <w:kern w:val="0"/>
                <w:sz w:val="18"/>
                <w:szCs w:val="18"/>
                <w:lang w:val="en-US" w:eastAsia="zh-CN"/>
              </w:rPr>
            </w:pPr>
            <w:r>
              <w:rPr>
                <w:rFonts w:hint="eastAsia"/>
                <w:color w:val="000000"/>
                <w:kern w:val="0"/>
                <w:sz w:val="18"/>
                <w:szCs w:val="18"/>
                <w:lang w:val="en-US" w:eastAsia="zh-CN"/>
              </w:rPr>
              <w:t>210批次</w:t>
            </w:r>
          </w:p>
        </w:tc>
        <w:tc>
          <w:tcPr>
            <w:tcW w:w="1800" w:type="dxa"/>
            <w:vAlign w:val="center"/>
          </w:tcPr>
          <w:p>
            <w:pPr>
              <w:widowControl/>
              <w:snapToGrid w:val="0"/>
              <w:jc w:val="center"/>
              <w:textAlignment w:val="center"/>
              <w:rPr>
                <w:rFonts w:hint="eastAsia"/>
                <w:color w:val="000000"/>
                <w:kern w:val="0"/>
                <w:sz w:val="18"/>
                <w:szCs w:val="18"/>
                <w:lang w:val="en-US" w:eastAsia="zh-CN"/>
              </w:rPr>
            </w:pPr>
            <w:r>
              <w:rPr>
                <w:rFonts w:hint="eastAsia"/>
                <w:color w:val="000000"/>
                <w:kern w:val="0"/>
                <w:sz w:val="18"/>
                <w:szCs w:val="18"/>
                <w:lang w:val="en-US" w:eastAsia="zh-CN"/>
              </w:rPr>
              <w:t>迎泽区</w:t>
            </w:r>
          </w:p>
        </w:tc>
        <w:tc>
          <w:tcPr>
            <w:tcW w:w="770" w:type="dxa"/>
            <w:vAlign w:val="center"/>
          </w:tcPr>
          <w:p>
            <w:pPr>
              <w:widowControl/>
              <w:snapToGrid w:val="0"/>
              <w:jc w:val="center"/>
              <w:textAlignment w:val="center"/>
              <w:rPr>
                <w:rFonts w:hint="eastAsia"/>
                <w:color w:val="000000"/>
                <w:kern w:val="0"/>
                <w:sz w:val="18"/>
                <w:szCs w:val="18"/>
                <w:lang w:val="en-US" w:eastAsia="zh-CN"/>
              </w:rPr>
            </w:pPr>
          </w:p>
        </w:tc>
      </w:tr>
    </w:tbl>
    <w:p>
      <w:pPr>
        <w:widowControl/>
        <w:snapToGrid w:val="0"/>
        <w:spacing w:line="360" w:lineRule="auto"/>
        <w:ind w:firstLine="516" w:firstLineChars="215"/>
        <w:jc w:val="left"/>
        <w:rPr>
          <w:color w:val="000000"/>
          <w:kern w:val="0"/>
          <w:sz w:val="24"/>
        </w:rPr>
      </w:pPr>
    </w:p>
    <w:p>
      <w:pPr>
        <w:widowControl/>
        <w:snapToGrid w:val="0"/>
        <w:spacing w:line="360" w:lineRule="auto"/>
        <w:ind w:firstLine="516" w:firstLineChars="215"/>
        <w:jc w:val="left"/>
        <w:rPr>
          <w:sz w:val="24"/>
        </w:rPr>
      </w:pPr>
      <w:r>
        <w:rPr>
          <w:sz w:val="24"/>
        </w:rPr>
        <w:t>6.2范围包括：按照采购人要求，完成</w:t>
      </w:r>
      <w:r>
        <w:rPr>
          <w:rFonts w:hint="eastAsia"/>
          <w:sz w:val="24"/>
          <w:lang w:val="en-US" w:eastAsia="zh-CN"/>
        </w:rPr>
        <w:t>对应</w:t>
      </w:r>
      <w:r>
        <w:rPr>
          <w:sz w:val="24"/>
        </w:rPr>
        <w:t>区域</w:t>
      </w:r>
      <w:r>
        <w:rPr>
          <w:rFonts w:hint="eastAsia"/>
          <w:sz w:val="24"/>
          <w:lang w:val="en-US" w:eastAsia="zh-CN"/>
        </w:rPr>
        <w:t>内食品、食品农产品</w:t>
      </w:r>
      <w:r>
        <w:rPr>
          <w:sz w:val="24"/>
        </w:rPr>
        <w:t>安全监督抽检工作（对抽样品种进行采样、储运、检验、质量分析、信息上报等）及相关配套服务。</w:t>
      </w:r>
    </w:p>
    <w:p>
      <w:pPr>
        <w:widowControl/>
        <w:snapToGrid w:val="0"/>
        <w:spacing w:line="360" w:lineRule="auto"/>
        <w:ind w:firstLine="516" w:firstLineChars="215"/>
        <w:jc w:val="left"/>
        <w:rPr>
          <w:color w:val="000000"/>
          <w:kern w:val="0"/>
          <w:sz w:val="24"/>
        </w:rPr>
      </w:pPr>
      <w:r>
        <w:rPr>
          <w:color w:val="000000"/>
          <w:kern w:val="0"/>
          <w:sz w:val="24"/>
        </w:rPr>
        <w:t>具体报价范围及所应达到的要求，以本磋商文件中相应规定为准。</w:t>
      </w:r>
    </w:p>
    <w:p>
      <w:pPr>
        <w:widowControl/>
        <w:snapToGrid w:val="0"/>
        <w:spacing w:line="360" w:lineRule="auto"/>
        <w:ind w:firstLine="516" w:firstLineChars="215"/>
        <w:jc w:val="left"/>
        <w:rPr>
          <w:color w:val="000000"/>
          <w:kern w:val="0"/>
          <w:sz w:val="24"/>
        </w:rPr>
      </w:pPr>
      <w:r>
        <w:rPr>
          <w:color w:val="000000"/>
          <w:kern w:val="0"/>
          <w:sz w:val="24"/>
        </w:rPr>
        <w:t>6.3服务地点：</w:t>
      </w:r>
      <w:r>
        <w:rPr>
          <w:rFonts w:hint="eastAsia"/>
          <w:color w:val="000000"/>
          <w:kern w:val="0"/>
          <w:sz w:val="24"/>
          <w:lang w:val="en-US" w:eastAsia="zh-CN"/>
        </w:rPr>
        <w:t>采购人</w:t>
      </w:r>
      <w:r>
        <w:rPr>
          <w:color w:val="000000"/>
          <w:kern w:val="0"/>
          <w:sz w:val="24"/>
        </w:rPr>
        <w:t>指定地点。</w:t>
      </w:r>
    </w:p>
    <w:p>
      <w:pPr>
        <w:widowControl/>
        <w:snapToGrid w:val="0"/>
        <w:spacing w:line="360" w:lineRule="auto"/>
        <w:ind w:firstLine="516" w:firstLineChars="215"/>
        <w:jc w:val="left"/>
        <w:rPr>
          <w:rFonts w:hint="eastAsia" w:eastAsia="宋体"/>
          <w:color w:val="000000"/>
          <w:sz w:val="24"/>
          <w:lang w:eastAsia="zh-CN"/>
        </w:rPr>
      </w:pPr>
      <w:r>
        <w:rPr>
          <w:color w:val="000000"/>
          <w:sz w:val="24"/>
        </w:rPr>
        <w:t>7.合同履行期限：</w:t>
      </w:r>
      <w:r>
        <w:rPr>
          <w:rFonts w:hint="eastAsia"/>
          <w:color w:val="000000"/>
          <w:sz w:val="24"/>
          <w:highlight w:val="none"/>
          <w:lang w:eastAsia="zh-CN"/>
        </w:rPr>
        <w:t>自合同签订之日起至2024年12月10日前完成。</w:t>
      </w:r>
    </w:p>
    <w:p>
      <w:pPr>
        <w:widowControl/>
        <w:snapToGrid w:val="0"/>
        <w:spacing w:line="360" w:lineRule="auto"/>
        <w:ind w:firstLine="480" w:firstLineChars="200"/>
        <w:jc w:val="left"/>
        <w:rPr>
          <w:color w:val="000000"/>
          <w:kern w:val="0"/>
          <w:sz w:val="24"/>
        </w:rPr>
      </w:pPr>
      <w:r>
        <w:rPr>
          <w:color w:val="000000"/>
          <w:kern w:val="0"/>
          <w:sz w:val="24"/>
        </w:rPr>
        <w:t>8.本项目不接受联合体。</w:t>
      </w:r>
    </w:p>
    <w:p>
      <w:pPr>
        <w:widowControl/>
        <w:snapToGrid w:val="0"/>
        <w:spacing w:line="360" w:lineRule="auto"/>
        <w:jc w:val="left"/>
        <w:rPr>
          <w:color w:val="000000"/>
          <w:kern w:val="0"/>
          <w:sz w:val="24"/>
        </w:rPr>
      </w:pPr>
      <w:bookmarkStart w:id="5" w:name="_Toc28359013"/>
      <w:bookmarkStart w:id="6" w:name="_Toc35393799"/>
      <w:bookmarkStart w:id="7" w:name="_Toc28359090"/>
      <w:bookmarkStart w:id="8" w:name="_Toc35393630"/>
      <w:r>
        <w:rPr>
          <w:color w:val="000000"/>
          <w:kern w:val="0"/>
          <w:sz w:val="24"/>
        </w:rPr>
        <w:t>二、申请人的资格要求</w:t>
      </w:r>
      <w:bookmarkEnd w:id="5"/>
      <w:bookmarkEnd w:id="6"/>
      <w:bookmarkEnd w:id="7"/>
      <w:bookmarkEnd w:id="8"/>
    </w:p>
    <w:p>
      <w:pPr>
        <w:widowControl/>
        <w:snapToGrid w:val="0"/>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1.满足《中华人民共和国政府采购法》第二十二条规定；</w:t>
      </w:r>
    </w:p>
    <w:p>
      <w:pPr>
        <w:widowControl/>
        <w:snapToGrid w:val="0"/>
        <w:spacing w:line="360" w:lineRule="auto"/>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14:textFill>
            <w14:solidFill>
              <w14:schemeClr w14:val="tx1"/>
            </w14:solidFill>
          </w14:textFill>
        </w:rPr>
        <w:t>2.落实政府采购政策需满足的资格要求：</w:t>
      </w:r>
      <w:r>
        <w:rPr>
          <w:rFonts w:ascii="Times New Roman" w:hAnsi="Times New Roman" w:eastAsia="宋体"/>
          <w:sz w:val="24"/>
          <w:highlight w:val="none"/>
        </w:rPr>
        <w:t>本项目专门面向中小企业采购</w:t>
      </w:r>
      <w:r>
        <w:rPr>
          <w:color w:val="000000" w:themeColor="text1"/>
          <w:kern w:val="0"/>
          <w:sz w:val="24"/>
          <w:highlight w:val="none"/>
          <w14:textFill>
            <w14:solidFill>
              <w14:schemeClr w14:val="tx1"/>
            </w14:solidFill>
          </w14:textFill>
        </w:rPr>
        <w:t>；</w:t>
      </w:r>
    </w:p>
    <w:p>
      <w:pPr>
        <w:widowControl/>
        <w:snapToGrid w:val="0"/>
        <w:spacing w:line="360" w:lineRule="auto"/>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3.本项目的特定资格要求：</w:t>
      </w:r>
      <w:r>
        <w:rPr>
          <w:rFonts w:hint="eastAsia"/>
          <w:color w:val="000000" w:themeColor="text1"/>
          <w:kern w:val="0"/>
          <w:sz w:val="24"/>
          <w:highlight w:val="none"/>
          <w:lang w:eastAsia="zh-CN"/>
          <w14:textFill>
            <w14:solidFill>
              <w14:schemeClr w14:val="tx1"/>
            </w14:solidFill>
          </w14:textFill>
        </w:rPr>
        <w:t>具有国家认证认可监督管理委员会或省级市场监督管理部门颁发的有效的检验检测机构资质认定证书(CMA)</w:t>
      </w:r>
      <w:r>
        <w:rPr>
          <w:rFonts w:hint="default"/>
          <w:color w:val="000000" w:themeColor="text1"/>
          <w:kern w:val="0"/>
          <w:sz w:val="24"/>
          <w:highlight w:val="none"/>
          <w14:textFill>
            <w14:solidFill>
              <w14:schemeClr w14:val="tx1"/>
            </w14:solidFill>
          </w14:textFill>
        </w:rPr>
        <w:t>。</w:t>
      </w:r>
    </w:p>
    <w:p>
      <w:pPr>
        <w:widowControl/>
        <w:snapToGrid w:val="0"/>
        <w:spacing w:line="360" w:lineRule="auto"/>
        <w:jc w:val="left"/>
        <w:rPr>
          <w:color w:val="000000"/>
          <w:kern w:val="0"/>
          <w:sz w:val="24"/>
        </w:rPr>
      </w:pPr>
      <w:bookmarkStart w:id="9" w:name="_Toc35393631"/>
      <w:bookmarkStart w:id="10" w:name="_Toc35393800"/>
      <w:bookmarkStart w:id="11" w:name="_Toc28359091"/>
      <w:bookmarkStart w:id="12" w:name="_Toc28359014"/>
      <w:r>
        <w:rPr>
          <w:color w:val="000000"/>
          <w:kern w:val="0"/>
          <w:sz w:val="24"/>
        </w:rPr>
        <w:t>三、获取采购文件</w:t>
      </w:r>
      <w:bookmarkEnd w:id="9"/>
      <w:bookmarkEnd w:id="10"/>
      <w:bookmarkEnd w:id="11"/>
      <w:bookmarkEnd w:id="12"/>
    </w:p>
    <w:p>
      <w:pPr>
        <w:widowControl/>
        <w:snapToGrid w:val="0"/>
        <w:spacing w:line="360" w:lineRule="auto"/>
        <w:ind w:firstLine="480" w:firstLineChars="200"/>
        <w:jc w:val="left"/>
        <w:rPr>
          <w:color w:val="000000"/>
          <w:kern w:val="0"/>
          <w:sz w:val="24"/>
        </w:rPr>
      </w:pPr>
      <w:r>
        <w:rPr>
          <w:color w:val="000000"/>
          <w:kern w:val="0"/>
          <w:sz w:val="24"/>
        </w:rPr>
        <w:t>1.获取时间：2024年</w:t>
      </w:r>
      <w:r>
        <w:rPr>
          <w:rFonts w:hint="eastAsia"/>
          <w:color w:val="000000"/>
          <w:kern w:val="0"/>
          <w:sz w:val="24"/>
          <w:lang w:val="en-US" w:eastAsia="zh-CN"/>
        </w:rPr>
        <w:t>4</w:t>
      </w:r>
      <w:r>
        <w:rPr>
          <w:color w:val="000000"/>
          <w:kern w:val="0"/>
          <w:sz w:val="24"/>
        </w:rPr>
        <w:t>月</w:t>
      </w:r>
      <w:r>
        <w:rPr>
          <w:rFonts w:hint="eastAsia"/>
          <w:color w:val="000000"/>
          <w:kern w:val="0"/>
          <w:sz w:val="24"/>
          <w:lang w:val="en-US" w:eastAsia="zh-CN"/>
        </w:rPr>
        <w:t>12</w:t>
      </w:r>
      <w:r>
        <w:rPr>
          <w:color w:val="000000"/>
          <w:kern w:val="0"/>
          <w:sz w:val="24"/>
        </w:rPr>
        <w:t>日00时00分00秒至2024年</w:t>
      </w:r>
      <w:r>
        <w:rPr>
          <w:rFonts w:hint="eastAsia"/>
          <w:color w:val="000000"/>
          <w:kern w:val="0"/>
          <w:sz w:val="24"/>
          <w:lang w:val="en-US" w:eastAsia="zh-CN"/>
        </w:rPr>
        <w:t>4</w:t>
      </w:r>
      <w:r>
        <w:rPr>
          <w:color w:val="000000"/>
          <w:kern w:val="0"/>
          <w:sz w:val="24"/>
        </w:rPr>
        <w:t>月</w:t>
      </w:r>
      <w:r>
        <w:rPr>
          <w:rFonts w:hint="eastAsia"/>
          <w:color w:val="000000"/>
          <w:kern w:val="0"/>
          <w:sz w:val="24"/>
          <w:lang w:val="en-US" w:eastAsia="zh-CN"/>
        </w:rPr>
        <w:t>18</w:t>
      </w:r>
      <w:r>
        <w:rPr>
          <w:color w:val="000000"/>
          <w:kern w:val="0"/>
          <w:sz w:val="24"/>
        </w:rPr>
        <w:t>日23时59分59秒（北京时间）</w:t>
      </w:r>
    </w:p>
    <w:p>
      <w:pPr>
        <w:widowControl/>
        <w:snapToGrid w:val="0"/>
        <w:spacing w:line="360" w:lineRule="auto"/>
        <w:ind w:firstLine="480" w:firstLineChars="200"/>
        <w:jc w:val="left"/>
        <w:rPr>
          <w:color w:val="000000"/>
          <w:kern w:val="0"/>
          <w:sz w:val="24"/>
        </w:rPr>
      </w:pPr>
      <w:r>
        <w:rPr>
          <w:color w:val="000000"/>
          <w:kern w:val="0"/>
          <w:sz w:val="24"/>
        </w:rPr>
        <w:t>2.获取地点：中国政府采购网山西分网（</w:t>
      </w:r>
      <w:r>
        <w:fldChar w:fldCharType="begin"/>
      </w:r>
      <w:r>
        <w:instrText xml:space="preserve"> HYPERLINK "http://www.ccgp-shanxi.gov.cn/home.html" </w:instrText>
      </w:r>
      <w:r>
        <w:fldChar w:fldCharType="separate"/>
      </w:r>
      <w:r>
        <w:rPr>
          <w:color w:val="000000"/>
          <w:kern w:val="0"/>
          <w:sz w:val="24"/>
        </w:rPr>
        <w:t>http://www.ccgp-shanxi.gov.cn/home.html</w:t>
      </w:r>
      <w:r>
        <w:rPr>
          <w:color w:val="000000"/>
          <w:kern w:val="0"/>
          <w:sz w:val="24"/>
        </w:rPr>
        <w:fldChar w:fldCharType="end"/>
      </w:r>
      <w:r>
        <w:rPr>
          <w:color w:val="000000"/>
          <w:kern w:val="0"/>
          <w:sz w:val="24"/>
        </w:rPr>
        <w:t>）线上获取。</w:t>
      </w:r>
    </w:p>
    <w:p>
      <w:pPr>
        <w:widowControl/>
        <w:snapToGrid w:val="0"/>
        <w:spacing w:line="360" w:lineRule="auto"/>
        <w:ind w:firstLine="480" w:firstLineChars="200"/>
        <w:jc w:val="left"/>
        <w:rPr>
          <w:color w:val="000000"/>
          <w:kern w:val="0"/>
          <w:sz w:val="24"/>
        </w:rPr>
      </w:pPr>
      <w:r>
        <w:rPr>
          <w:color w:val="000000"/>
          <w:kern w:val="0"/>
          <w:sz w:val="24"/>
        </w:rPr>
        <w:t>3.获取方式</w:t>
      </w:r>
    </w:p>
    <w:p>
      <w:pPr>
        <w:widowControl/>
        <w:snapToGrid w:val="0"/>
        <w:spacing w:line="360" w:lineRule="auto"/>
        <w:ind w:firstLine="480" w:firstLineChars="200"/>
        <w:jc w:val="left"/>
        <w:rPr>
          <w:color w:val="000000"/>
          <w:kern w:val="0"/>
          <w:sz w:val="24"/>
        </w:rPr>
      </w:pPr>
      <w:r>
        <w:rPr>
          <w:color w:val="000000"/>
          <w:kern w:val="0"/>
          <w:sz w:val="24"/>
        </w:rPr>
        <w:t>只允许在线获取，凡有意参加磋商的供应商，请按照以下步骤免费获取磋商文件：</w:t>
      </w:r>
    </w:p>
    <w:p>
      <w:pPr>
        <w:widowControl/>
        <w:snapToGrid w:val="0"/>
        <w:spacing w:line="360" w:lineRule="auto"/>
        <w:ind w:firstLine="480" w:firstLineChars="200"/>
        <w:jc w:val="left"/>
        <w:rPr>
          <w:color w:val="000000"/>
          <w:kern w:val="0"/>
          <w:sz w:val="24"/>
        </w:rPr>
      </w:pPr>
      <w:r>
        <w:rPr>
          <w:color w:val="000000"/>
          <w:kern w:val="0"/>
          <w:sz w:val="24"/>
        </w:rPr>
        <w:t>（1）在中国政府采购网山西分网完成注册，已完成注册的请跳过此步骤；</w:t>
      </w:r>
    </w:p>
    <w:p>
      <w:pPr>
        <w:widowControl/>
        <w:snapToGrid w:val="0"/>
        <w:spacing w:line="360" w:lineRule="auto"/>
        <w:ind w:firstLine="480" w:firstLineChars="200"/>
        <w:jc w:val="left"/>
        <w:rPr>
          <w:color w:val="000000"/>
          <w:kern w:val="0"/>
          <w:sz w:val="24"/>
        </w:rPr>
      </w:pPr>
      <w:r>
        <w:rPr>
          <w:color w:val="000000"/>
          <w:kern w:val="0"/>
          <w:sz w:val="24"/>
        </w:rPr>
        <w:t>（2）请于磋商文件获取截止时间前（北京时间，下同），进入山西政府采购平台（</w:t>
      </w:r>
      <w:r>
        <w:fldChar w:fldCharType="begin"/>
      </w:r>
      <w:r>
        <w:instrText xml:space="preserve"> HYPERLINK "https://login.sxzfcg.zcygov.cn/user-login/" \l "/login" </w:instrText>
      </w:r>
      <w:r>
        <w:fldChar w:fldCharType="separate"/>
      </w:r>
      <w:r>
        <w:rPr>
          <w:color w:val="000000"/>
          <w:kern w:val="0"/>
          <w:sz w:val="24"/>
        </w:rPr>
        <w:t>https://login.sxzfcg.zcygov.cn/user-login/#/login</w:t>
      </w:r>
      <w:r>
        <w:rPr>
          <w:color w:val="000000"/>
          <w:kern w:val="0"/>
          <w:sz w:val="24"/>
        </w:rPr>
        <w:fldChar w:fldCharType="end"/>
      </w:r>
      <w:r>
        <w:rPr>
          <w:color w:val="000000"/>
          <w:kern w:val="0"/>
          <w:sz w:val="24"/>
        </w:rPr>
        <w:t>）使用企业数字证书（CA）在网上获取磋商文件。</w:t>
      </w:r>
    </w:p>
    <w:p>
      <w:pPr>
        <w:widowControl/>
        <w:snapToGrid w:val="0"/>
        <w:spacing w:line="360" w:lineRule="auto"/>
        <w:jc w:val="left"/>
        <w:rPr>
          <w:color w:val="000000"/>
          <w:kern w:val="0"/>
          <w:sz w:val="24"/>
        </w:rPr>
      </w:pPr>
      <w:bookmarkStart w:id="13" w:name="_Toc28359015"/>
      <w:bookmarkStart w:id="14" w:name="_Toc35393632"/>
      <w:bookmarkStart w:id="15" w:name="_Toc28359092"/>
      <w:bookmarkStart w:id="16" w:name="_Toc35393801"/>
      <w:r>
        <w:rPr>
          <w:color w:val="000000"/>
          <w:kern w:val="0"/>
          <w:sz w:val="24"/>
        </w:rPr>
        <w:t>四、响应文件提交</w:t>
      </w:r>
      <w:bookmarkEnd w:id="13"/>
      <w:bookmarkEnd w:id="14"/>
      <w:bookmarkEnd w:id="15"/>
      <w:bookmarkEnd w:id="16"/>
    </w:p>
    <w:p>
      <w:pPr>
        <w:widowControl/>
        <w:snapToGrid w:val="0"/>
        <w:spacing w:line="360" w:lineRule="auto"/>
        <w:ind w:firstLine="480" w:firstLineChars="200"/>
        <w:jc w:val="left"/>
        <w:rPr>
          <w:color w:val="000000"/>
          <w:kern w:val="0"/>
          <w:sz w:val="24"/>
        </w:rPr>
      </w:pPr>
      <w:r>
        <w:rPr>
          <w:color w:val="000000"/>
          <w:kern w:val="0"/>
          <w:sz w:val="24"/>
        </w:rPr>
        <w:t>1.提交截止时间：2024年</w:t>
      </w:r>
      <w:r>
        <w:rPr>
          <w:rFonts w:hint="eastAsia"/>
          <w:color w:val="000000"/>
          <w:kern w:val="0"/>
          <w:sz w:val="24"/>
          <w:lang w:val="en-US" w:eastAsia="zh-CN"/>
        </w:rPr>
        <w:t>4</w:t>
      </w:r>
      <w:r>
        <w:rPr>
          <w:color w:val="000000"/>
          <w:kern w:val="0"/>
          <w:sz w:val="24"/>
        </w:rPr>
        <w:t>月</w:t>
      </w:r>
      <w:r>
        <w:rPr>
          <w:rFonts w:hint="eastAsia"/>
          <w:color w:val="000000"/>
          <w:kern w:val="0"/>
          <w:sz w:val="24"/>
          <w:lang w:val="en-US" w:eastAsia="zh-CN"/>
        </w:rPr>
        <w:t>23</w:t>
      </w:r>
      <w:r>
        <w:rPr>
          <w:color w:val="000000"/>
          <w:kern w:val="0"/>
          <w:sz w:val="24"/>
        </w:rPr>
        <w:t>日08时30分（北京时间）</w:t>
      </w:r>
    </w:p>
    <w:p>
      <w:pPr>
        <w:widowControl/>
        <w:snapToGrid w:val="0"/>
        <w:spacing w:line="360" w:lineRule="auto"/>
        <w:ind w:firstLine="480" w:firstLineChars="200"/>
        <w:jc w:val="left"/>
        <w:rPr>
          <w:color w:val="000000"/>
          <w:kern w:val="0"/>
          <w:sz w:val="24"/>
        </w:rPr>
      </w:pPr>
      <w:r>
        <w:rPr>
          <w:color w:val="000000"/>
          <w:kern w:val="0"/>
          <w:sz w:val="24"/>
        </w:rPr>
        <w:t>2.电子响应文件提交地点：政采云客户端投标。</w:t>
      </w:r>
    </w:p>
    <w:p>
      <w:pPr>
        <w:widowControl/>
        <w:snapToGrid w:val="0"/>
        <w:spacing w:line="360" w:lineRule="auto"/>
        <w:ind w:firstLine="480" w:firstLineChars="200"/>
        <w:jc w:val="left"/>
        <w:rPr>
          <w:color w:val="000000"/>
          <w:kern w:val="0"/>
          <w:sz w:val="24"/>
        </w:rPr>
      </w:pPr>
      <w:r>
        <w:rPr>
          <w:color w:val="000000"/>
          <w:kern w:val="0"/>
          <w:sz w:val="24"/>
        </w:rPr>
        <w:t>3.电子响应文件递交及格式要求：</w:t>
      </w:r>
    </w:p>
    <w:p>
      <w:pPr>
        <w:widowControl/>
        <w:snapToGrid w:val="0"/>
        <w:spacing w:line="360" w:lineRule="auto"/>
        <w:ind w:firstLine="480" w:firstLineChars="200"/>
        <w:jc w:val="left"/>
        <w:rPr>
          <w:color w:val="000000"/>
          <w:kern w:val="0"/>
          <w:sz w:val="24"/>
        </w:rPr>
      </w:pPr>
      <w:r>
        <w:rPr>
          <w:color w:val="000000"/>
          <w:kern w:val="0"/>
          <w:sz w:val="24"/>
        </w:rPr>
        <w:t>响应文件递交截止时间前在政采云平台投标客户端(http://www.ccgp-shanxi.gov.cn/sxCategory15/sxCategory202/sxCategory20201/327.html)完成递交（上传），递交截止时间前未完成响应文件上传的，视为撤回响应文件，供应商自行承担责任。</w:t>
      </w:r>
    </w:p>
    <w:p>
      <w:pPr>
        <w:widowControl/>
        <w:snapToGrid w:val="0"/>
        <w:spacing w:line="360" w:lineRule="auto"/>
        <w:ind w:firstLine="480" w:firstLineChars="200"/>
        <w:jc w:val="left"/>
        <w:rPr>
          <w:color w:val="000000"/>
          <w:kern w:val="0"/>
          <w:sz w:val="24"/>
        </w:rPr>
      </w:pPr>
      <w:r>
        <w:rPr>
          <w:color w:val="000000"/>
          <w:kern w:val="0"/>
          <w:sz w:val="24"/>
        </w:rPr>
        <w:t>4.供应商可携带笔记本电脑和CA锁到开标现场解密或者不到开标现场远程进行解密。</w:t>
      </w:r>
    </w:p>
    <w:p>
      <w:pPr>
        <w:widowControl/>
        <w:snapToGrid w:val="0"/>
        <w:spacing w:line="360" w:lineRule="auto"/>
        <w:jc w:val="left"/>
        <w:rPr>
          <w:color w:val="000000"/>
          <w:kern w:val="0"/>
          <w:sz w:val="24"/>
        </w:rPr>
      </w:pPr>
      <w:bookmarkStart w:id="17" w:name="_Toc35393633"/>
      <w:bookmarkStart w:id="18" w:name="_Toc28359016"/>
      <w:bookmarkStart w:id="19" w:name="_Toc35393802"/>
      <w:bookmarkStart w:id="20" w:name="_Toc28359093"/>
      <w:r>
        <w:rPr>
          <w:color w:val="000000"/>
          <w:kern w:val="0"/>
          <w:sz w:val="24"/>
        </w:rPr>
        <w:t>五、响应文件开启</w:t>
      </w:r>
      <w:bookmarkEnd w:id="17"/>
      <w:bookmarkEnd w:id="18"/>
      <w:bookmarkEnd w:id="19"/>
      <w:bookmarkEnd w:id="20"/>
    </w:p>
    <w:p>
      <w:pPr>
        <w:widowControl/>
        <w:snapToGrid w:val="0"/>
        <w:spacing w:line="360" w:lineRule="auto"/>
        <w:ind w:firstLine="480" w:firstLineChars="200"/>
        <w:jc w:val="left"/>
        <w:rPr>
          <w:color w:val="000000"/>
          <w:kern w:val="0"/>
          <w:sz w:val="24"/>
        </w:rPr>
      </w:pPr>
      <w:r>
        <w:rPr>
          <w:color w:val="000000"/>
          <w:kern w:val="0"/>
          <w:sz w:val="24"/>
        </w:rPr>
        <w:t>1.时间：2024年</w:t>
      </w:r>
      <w:r>
        <w:rPr>
          <w:rFonts w:hint="eastAsia"/>
          <w:color w:val="000000"/>
          <w:kern w:val="0"/>
          <w:sz w:val="24"/>
          <w:lang w:val="en-US" w:eastAsia="zh-CN"/>
        </w:rPr>
        <w:t>4</w:t>
      </w:r>
      <w:r>
        <w:rPr>
          <w:color w:val="000000"/>
          <w:kern w:val="0"/>
          <w:sz w:val="24"/>
        </w:rPr>
        <w:t>月</w:t>
      </w:r>
      <w:r>
        <w:rPr>
          <w:rFonts w:hint="eastAsia"/>
          <w:color w:val="000000"/>
          <w:kern w:val="0"/>
          <w:sz w:val="24"/>
          <w:lang w:val="en-US" w:eastAsia="zh-CN"/>
        </w:rPr>
        <w:t>23</w:t>
      </w:r>
      <w:r>
        <w:rPr>
          <w:color w:val="000000"/>
          <w:kern w:val="0"/>
          <w:sz w:val="24"/>
        </w:rPr>
        <w:t>日08时30分（北京时间）</w:t>
      </w:r>
    </w:p>
    <w:p>
      <w:pPr>
        <w:widowControl/>
        <w:snapToGrid w:val="0"/>
        <w:spacing w:line="360" w:lineRule="auto"/>
        <w:ind w:firstLine="480" w:firstLineChars="200"/>
        <w:jc w:val="left"/>
        <w:rPr>
          <w:color w:val="000000"/>
          <w:kern w:val="0"/>
          <w:sz w:val="24"/>
        </w:rPr>
      </w:pPr>
      <w:r>
        <w:rPr>
          <w:color w:val="000000"/>
          <w:kern w:val="0"/>
          <w:sz w:val="24"/>
        </w:rPr>
        <w:t>2.地点：山西省太原市晋源区长兴南街8号阳光城环球金融中心B座9层</w:t>
      </w:r>
    </w:p>
    <w:p>
      <w:pPr>
        <w:widowControl/>
        <w:snapToGrid w:val="0"/>
        <w:spacing w:line="360" w:lineRule="auto"/>
        <w:jc w:val="left"/>
        <w:rPr>
          <w:color w:val="000000"/>
          <w:kern w:val="0"/>
          <w:sz w:val="24"/>
        </w:rPr>
      </w:pPr>
      <w:bookmarkStart w:id="21" w:name="_Toc35393634"/>
      <w:bookmarkStart w:id="22" w:name="_Toc28359017"/>
      <w:bookmarkStart w:id="23" w:name="_Toc35393803"/>
      <w:bookmarkStart w:id="24" w:name="_Toc28359094"/>
      <w:r>
        <w:rPr>
          <w:color w:val="000000"/>
          <w:kern w:val="0"/>
          <w:sz w:val="24"/>
        </w:rPr>
        <w:t>六、公告期限</w:t>
      </w:r>
      <w:bookmarkEnd w:id="21"/>
      <w:bookmarkEnd w:id="22"/>
      <w:bookmarkEnd w:id="23"/>
      <w:bookmarkEnd w:id="24"/>
    </w:p>
    <w:p>
      <w:pPr>
        <w:widowControl/>
        <w:snapToGrid w:val="0"/>
        <w:spacing w:line="360" w:lineRule="auto"/>
        <w:ind w:firstLine="480" w:firstLineChars="200"/>
        <w:jc w:val="left"/>
        <w:rPr>
          <w:color w:val="000000"/>
          <w:kern w:val="0"/>
          <w:sz w:val="24"/>
        </w:rPr>
      </w:pPr>
      <w:r>
        <w:rPr>
          <w:color w:val="000000"/>
          <w:kern w:val="0"/>
          <w:sz w:val="24"/>
        </w:rPr>
        <w:t>自本公告发布之日起5个工作日。</w:t>
      </w:r>
    </w:p>
    <w:p>
      <w:pPr>
        <w:widowControl/>
        <w:snapToGrid w:val="0"/>
        <w:spacing w:line="360" w:lineRule="auto"/>
        <w:jc w:val="left"/>
        <w:rPr>
          <w:color w:val="000000"/>
          <w:kern w:val="0"/>
          <w:sz w:val="24"/>
        </w:rPr>
      </w:pPr>
      <w:bookmarkStart w:id="25" w:name="_Toc35393635"/>
      <w:bookmarkStart w:id="26" w:name="_Toc35393804"/>
      <w:r>
        <w:rPr>
          <w:color w:val="000000"/>
          <w:kern w:val="0"/>
          <w:sz w:val="24"/>
        </w:rPr>
        <w:t>七、其他补充事宜</w:t>
      </w:r>
      <w:bookmarkEnd w:id="25"/>
      <w:bookmarkEnd w:id="26"/>
    </w:p>
    <w:p>
      <w:pPr>
        <w:widowControl/>
        <w:snapToGrid w:val="0"/>
        <w:spacing w:line="360" w:lineRule="auto"/>
        <w:ind w:firstLine="480" w:firstLineChars="200"/>
        <w:jc w:val="left"/>
        <w:rPr>
          <w:color w:val="000000"/>
          <w:kern w:val="0"/>
          <w:sz w:val="24"/>
        </w:rPr>
      </w:pPr>
      <w:r>
        <w:rPr>
          <w:color w:val="000000"/>
          <w:kern w:val="0"/>
          <w:sz w:val="24"/>
        </w:rPr>
        <w:t>无</w:t>
      </w:r>
    </w:p>
    <w:p>
      <w:pPr>
        <w:widowControl/>
        <w:snapToGrid w:val="0"/>
        <w:spacing w:line="360" w:lineRule="auto"/>
        <w:jc w:val="left"/>
        <w:rPr>
          <w:color w:val="000000"/>
          <w:kern w:val="0"/>
          <w:sz w:val="24"/>
        </w:rPr>
      </w:pPr>
      <w:bookmarkStart w:id="27" w:name="_Toc35393805"/>
      <w:bookmarkStart w:id="28" w:name="_Toc28359018"/>
      <w:bookmarkStart w:id="29" w:name="_Toc35393636"/>
      <w:bookmarkStart w:id="30" w:name="_Toc28359095"/>
      <w:r>
        <w:rPr>
          <w:color w:val="000000"/>
          <w:kern w:val="0"/>
          <w:sz w:val="24"/>
        </w:rPr>
        <w:t>八、凡对本次采购提出询问，请按以下方式联系。</w:t>
      </w:r>
      <w:bookmarkEnd w:id="27"/>
      <w:bookmarkEnd w:id="28"/>
      <w:bookmarkEnd w:id="29"/>
      <w:bookmarkEnd w:id="30"/>
    </w:p>
    <w:p>
      <w:pPr>
        <w:widowControl/>
        <w:snapToGrid w:val="0"/>
        <w:spacing w:line="360" w:lineRule="auto"/>
        <w:ind w:firstLine="480" w:firstLineChars="200"/>
        <w:jc w:val="left"/>
        <w:rPr>
          <w:color w:val="000000"/>
          <w:kern w:val="0"/>
          <w:sz w:val="24"/>
        </w:rPr>
      </w:pPr>
      <w:bookmarkStart w:id="31" w:name="_Toc28359019"/>
      <w:bookmarkStart w:id="32" w:name="_Toc35393637"/>
      <w:bookmarkStart w:id="33" w:name="_Toc35393806"/>
      <w:bookmarkStart w:id="34" w:name="_Toc28359096"/>
      <w:r>
        <w:rPr>
          <w:color w:val="000000"/>
          <w:kern w:val="0"/>
          <w:sz w:val="24"/>
        </w:rPr>
        <w:t>1.采购人信息</w:t>
      </w:r>
      <w:bookmarkEnd w:id="31"/>
      <w:bookmarkEnd w:id="32"/>
      <w:bookmarkEnd w:id="33"/>
      <w:bookmarkEnd w:id="34"/>
    </w:p>
    <w:p>
      <w:pPr>
        <w:widowControl/>
        <w:snapToGrid w:val="0"/>
        <w:spacing w:line="360" w:lineRule="auto"/>
        <w:ind w:firstLine="480" w:firstLineChars="200"/>
        <w:jc w:val="left"/>
        <w:rPr>
          <w:rFonts w:hint="eastAsia" w:eastAsia="宋体"/>
          <w:color w:val="000000"/>
          <w:kern w:val="0"/>
          <w:sz w:val="24"/>
          <w:lang w:eastAsia="zh-CN"/>
        </w:rPr>
      </w:pPr>
      <w:bookmarkStart w:id="35" w:name="_Toc35393638"/>
      <w:bookmarkStart w:id="36" w:name="_Toc28359020"/>
      <w:bookmarkStart w:id="37" w:name="_Toc35393807"/>
      <w:bookmarkStart w:id="38" w:name="_Toc28359097"/>
      <w:r>
        <w:rPr>
          <w:rFonts w:hint="eastAsia"/>
          <w:color w:val="000000"/>
          <w:kern w:val="0"/>
          <w:sz w:val="24"/>
        </w:rPr>
        <w:t>名称：</w:t>
      </w:r>
      <w:r>
        <w:rPr>
          <w:rFonts w:hint="eastAsia"/>
          <w:color w:val="000000"/>
          <w:kern w:val="0"/>
          <w:sz w:val="24"/>
          <w:lang w:eastAsia="zh-CN"/>
        </w:rPr>
        <w:t>太原市迎泽区市场监督管理局</w:t>
      </w:r>
    </w:p>
    <w:p>
      <w:pPr>
        <w:widowControl/>
        <w:snapToGrid w:val="0"/>
        <w:spacing w:line="360" w:lineRule="auto"/>
        <w:ind w:firstLine="480" w:firstLineChars="200"/>
        <w:jc w:val="left"/>
        <w:rPr>
          <w:rFonts w:hint="eastAsia"/>
          <w:color w:val="000000"/>
          <w:kern w:val="0"/>
          <w:sz w:val="24"/>
        </w:rPr>
      </w:pPr>
      <w:r>
        <w:rPr>
          <w:rFonts w:hint="eastAsia"/>
          <w:color w:val="000000"/>
          <w:kern w:val="0"/>
          <w:sz w:val="24"/>
        </w:rPr>
        <w:t>地址：</w:t>
      </w:r>
      <w:r>
        <w:rPr>
          <w:rFonts w:hint="eastAsia"/>
          <w:color w:val="000000"/>
          <w:kern w:val="0"/>
          <w:sz w:val="24"/>
          <w:highlight w:val="none"/>
        </w:rPr>
        <w:t>太原市迎泽区西校尉营15号</w:t>
      </w:r>
    </w:p>
    <w:p>
      <w:pPr>
        <w:widowControl/>
        <w:snapToGrid w:val="0"/>
        <w:spacing w:line="360" w:lineRule="auto"/>
        <w:ind w:firstLine="480" w:firstLineChars="200"/>
        <w:jc w:val="left"/>
        <w:rPr>
          <w:rFonts w:hint="default" w:eastAsia="宋体"/>
          <w:color w:val="000000"/>
          <w:kern w:val="0"/>
          <w:sz w:val="24"/>
          <w:lang w:val="en-US" w:eastAsia="zh-CN"/>
        </w:rPr>
      </w:pPr>
      <w:r>
        <w:rPr>
          <w:rFonts w:hint="eastAsia"/>
          <w:color w:val="000000"/>
          <w:kern w:val="0"/>
          <w:sz w:val="24"/>
          <w:lang w:val="en-US" w:eastAsia="zh-CN"/>
        </w:rPr>
        <w:t>联系人：郎志刚</w:t>
      </w:r>
    </w:p>
    <w:p>
      <w:pPr>
        <w:widowControl/>
        <w:snapToGrid w:val="0"/>
        <w:spacing w:line="360" w:lineRule="auto"/>
        <w:ind w:firstLine="480" w:firstLineChars="200"/>
        <w:jc w:val="left"/>
        <w:rPr>
          <w:color w:val="000000"/>
          <w:kern w:val="0"/>
          <w:sz w:val="24"/>
        </w:rPr>
      </w:pPr>
      <w:r>
        <w:rPr>
          <w:rFonts w:hint="eastAsia"/>
          <w:color w:val="000000"/>
          <w:kern w:val="0"/>
          <w:sz w:val="24"/>
        </w:rPr>
        <w:t>联系方式：</w:t>
      </w:r>
      <w:r>
        <w:rPr>
          <w:rFonts w:hint="eastAsia"/>
          <w:color w:val="000000"/>
          <w:kern w:val="0"/>
          <w:sz w:val="24"/>
          <w:highlight w:val="none"/>
        </w:rPr>
        <w:t>0351-5228260</w:t>
      </w:r>
    </w:p>
    <w:p>
      <w:pPr>
        <w:widowControl/>
        <w:snapToGrid w:val="0"/>
        <w:spacing w:line="360" w:lineRule="auto"/>
        <w:ind w:firstLine="480" w:firstLineChars="200"/>
        <w:jc w:val="left"/>
        <w:rPr>
          <w:color w:val="000000"/>
          <w:kern w:val="0"/>
          <w:sz w:val="24"/>
        </w:rPr>
      </w:pPr>
      <w:r>
        <w:rPr>
          <w:color w:val="000000"/>
          <w:kern w:val="0"/>
          <w:sz w:val="24"/>
        </w:rPr>
        <w:t>2.采购代理机构信息</w:t>
      </w:r>
      <w:bookmarkEnd w:id="35"/>
      <w:bookmarkEnd w:id="36"/>
      <w:bookmarkEnd w:id="37"/>
      <w:bookmarkEnd w:id="38"/>
    </w:p>
    <w:p>
      <w:pPr>
        <w:widowControl/>
        <w:snapToGrid w:val="0"/>
        <w:spacing w:line="360" w:lineRule="auto"/>
        <w:ind w:firstLine="480" w:firstLineChars="200"/>
        <w:jc w:val="left"/>
        <w:rPr>
          <w:color w:val="000000"/>
          <w:kern w:val="0"/>
          <w:sz w:val="24"/>
        </w:rPr>
      </w:pPr>
      <w:r>
        <w:rPr>
          <w:color w:val="000000"/>
          <w:kern w:val="0"/>
          <w:sz w:val="24"/>
        </w:rPr>
        <w:t>名称：山西省国际招标有限公司</w:t>
      </w:r>
    </w:p>
    <w:p>
      <w:pPr>
        <w:widowControl/>
        <w:snapToGrid w:val="0"/>
        <w:spacing w:line="360" w:lineRule="auto"/>
        <w:ind w:firstLine="480" w:firstLineChars="200"/>
        <w:jc w:val="left"/>
        <w:rPr>
          <w:color w:val="000000"/>
          <w:kern w:val="0"/>
          <w:sz w:val="24"/>
        </w:rPr>
      </w:pPr>
      <w:r>
        <w:rPr>
          <w:color w:val="000000"/>
          <w:kern w:val="0"/>
          <w:sz w:val="24"/>
        </w:rPr>
        <w:t>地址：山西省太原市晋源区长兴南街8号阳光城环球金融中心B座9层</w:t>
      </w:r>
    </w:p>
    <w:p>
      <w:pPr>
        <w:widowControl/>
        <w:snapToGrid w:val="0"/>
        <w:spacing w:line="360" w:lineRule="auto"/>
        <w:ind w:firstLine="480" w:firstLineChars="200"/>
        <w:jc w:val="left"/>
        <w:rPr>
          <w:color w:val="000000"/>
          <w:kern w:val="0"/>
          <w:sz w:val="24"/>
        </w:rPr>
      </w:pPr>
      <w:r>
        <w:rPr>
          <w:color w:val="000000"/>
          <w:kern w:val="0"/>
          <w:sz w:val="24"/>
        </w:rPr>
        <w:t>联系方式：0351-7882993</w:t>
      </w:r>
    </w:p>
    <w:p>
      <w:pPr>
        <w:widowControl/>
        <w:snapToGrid w:val="0"/>
        <w:spacing w:line="360" w:lineRule="auto"/>
        <w:ind w:firstLine="480" w:firstLineChars="200"/>
        <w:jc w:val="left"/>
        <w:rPr>
          <w:color w:val="000000"/>
          <w:kern w:val="0"/>
          <w:sz w:val="24"/>
        </w:rPr>
      </w:pPr>
      <w:bookmarkStart w:id="39" w:name="_Toc35393639"/>
      <w:bookmarkStart w:id="40" w:name="_Toc35393808"/>
      <w:bookmarkStart w:id="41" w:name="_Toc28359098"/>
      <w:bookmarkStart w:id="42" w:name="_Toc28359021"/>
      <w:r>
        <w:rPr>
          <w:color w:val="000000"/>
          <w:kern w:val="0"/>
          <w:sz w:val="24"/>
        </w:rPr>
        <w:t>3.项目联系方式</w:t>
      </w:r>
      <w:bookmarkEnd w:id="39"/>
      <w:bookmarkEnd w:id="40"/>
      <w:bookmarkEnd w:id="41"/>
      <w:bookmarkEnd w:id="42"/>
    </w:p>
    <w:p>
      <w:pPr>
        <w:widowControl/>
        <w:snapToGrid w:val="0"/>
        <w:spacing w:line="360" w:lineRule="auto"/>
        <w:ind w:firstLine="480" w:firstLineChars="200"/>
        <w:jc w:val="left"/>
        <w:rPr>
          <w:color w:val="000000"/>
          <w:kern w:val="0"/>
          <w:sz w:val="24"/>
        </w:rPr>
      </w:pPr>
      <w:r>
        <w:rPr>
          <w:color w:val="000000"/>
          <w:kern w:val="0"/>
          <w:sz w:val="24"/>
        </w:rPr>
        <w:t>项目联系人：刘鹏、武伟、高琦鹏</w:t>
      </w:r>
    </w:p>
    <w:p>
      <w:pPr>
        <w:widowControl/>
        <w:snapToGrid w:val="0"/>
        <w:spacing w:line="360" w:lineRule="auto"/>
        <w:ind w:firstLine="480" w:firstLineChars="200"/>
        <w:jc w:val="left"/>
        <w:rPr>
          <w:color w:val="000000"/>
          <w:kern w:val="0"/>
          <w:sz w:val="24"/>
        </w:rPr>
      </w:pPr>
      <w:r>
        <w:rPr>
          <w:color w:val="000000"/>
          <w:kern w:val="0"/>
          <w:sz w:val="24"/>
        </w:rPr>
        <w:t>电话：0351-7882993</w:t>
      </w:r>
    </w:p>
    <w:p>
      <w:pPr>
        <w:widowControl/>
        <w:snapToGrid w:val="0"/>
        <w:spacing w:line="360" w:lineRule="auto"/>
        <w:jc w:val="left"/>
        <w:rPr>
          <w:color w:val="000000"/>
          <w:kern w:val="0"/>
          <w:sz w:val="24"/>
        </w:rPr>
      </w:pPr>
    </w:p>
    <w:p>
      <w:pPr>
        <w:widowControl/>
        <w:snapToGrid w:val="0"/>
        <w:spacing w:line="360" w:lineRule="auto"/>
        <w:ind w:firstLine="480" w:firstLineChars="200"/>
        <w:jc w:val="left"/>
        <w:rPr>
          <w:color w:val="000000"/>
          <w:kern w:val="0"/>
          <w:sz w:val="24"/>
        </w:rPr>
        <w:sectPr>
          <w:pgSz w:w="11907" w:h="16840"/>
          <w:pgMar w:top="1440" w:right="1797" w:bottom="1440" w:left="1797" w:header="964" w:footer="992" w:gutter="0"/>
          <w:cols w:space="720" w:num="1"/>
        </w:sectPr>
      </w:pPr>
    </w:p>
    <w:p>
      <w:pPr>
        <w:widowControl/>
        <w:tabs>
          <w:tab w:val="left" w:pos="2070"/>
          <w:tab w:val="center" w:pos="4365"/>
        </w:tabs>
        <w:snapToGrid w:val="0"/>
        <w:spacing w:line="360" w:lineRule="auto"/>
        <w:jc w:val="center"/>
        <w:outlineLvl w:val="0"/>
        <w:rPr>
          <w:color w:val="000000"/>
          <w:kern w:val="0"/>
          <w:sz w:val="28"/>
          <w:szCs w:val="32"/>
        </w:rPr>
      </w:pPr>
      <w:bookmarkStart w:id="43" w:name="_Toc31516"/>
      <w:r>
        <w:rPr>
          <w:color w:val="000000"/>
          <w:kern w:val="0"/>
          <w:sz w:val="28"/>
          <w:szCs w:val="32"/>
        </w:rPr>
        <w:t>第二部分  供应商须知</w:t>
      </w:r>
      <w:bookmarkEnd w:id="43"/>
      <w:bookmarkStart w:id="44" w:name="_Toc175644016"/>
      <w:bookmarkStart w:id="45" w:name="_Toc86202581"/>
    </w:p>
    <w:bookmarkEnd w:id="44"/>
    <w:p>
      <w:pPr>
        <w:pStyle w:val="4"/>
        <w:snapToGrid w:val="0"/>
        <w:spacing w:before="0" w:after="0" w:line="360" w:lineRule="auto"/>
        <w:rPr>
          <w:rFonts w:ascii="Times New Roman" w:hAnsi="Times New Roman" w:eastAsia="宋体"/>
          <w:bCs/>
          <w:color w:val="000000"/>
          <w:kern w:val="0"/>
          <w:sz w:val="24"/>
        </w:rPr>
      </w:pPr>
      <w:bookmarkStart w:id="46" w:name="_Toc5815"/>
      <w:r>
        <w:rPr>
          <w:rFonts w:ascii="Times New Roman" w:hAnsi="Times New Roman" w:eastAsia="宋体"/>
          <w:bCs/>
          <w:color w:val="000000"/>
          <w:kern w:val="0"/>
          <w:sz w:val="24"/>
        </w:rPr>
        <w:t>一、总则</w:t>
      </w:r>
      <w:bookmarkEnd w:id="46"/>
    </w:p>
    <w:p>
      <w:pPr>
        <w:widowControl/>
        <w:snapToGrid w:val="0"/>
        <w:spacing w:line="360" w:lineRule="auto"/>
        <w:ind w:firstLine="482" w:firstLineChars="200"/>
        <w:jc w:val="left"/>
        <w:rPr>
          <w:color w:val="000000"/>
          <w:kern w:val="0"/>
          <w:sz w:val="24"/>
        </w:rPr>
      </w:pPr>
      <w:r>
        <w:rPr>
          <w:b/>
          <w:bCs/>
          <w:color w:val="000000"/>
          <w:kern w:val="0"/>
          <w:sz w:val="24"/>
        </w:rPr>
        <w:t>1.适用范围</w:t>
      </w:r>
    </w:p>
    <w:p>
      <w:pPr>
        <w:widowControl/>
        <w:snapToGrid w:val="0"/>
        <w:spacing w:line="360" w:lineRule="auto"/>
        <w:ind w:firstLine="480" w:firstLineChars="200"/>
        <w:jc w:val="left"/>
        <w:rPr>
          <w:color w:val="000000"/>
          <w:kern w:val="0"/>
          <w:sz w:val="24"/>
        </w:rPr>
      </w:pPr>
      <w:r>
        <w:rPr>
          <w:color w:val="000000"/>
          <w:kern w:val="0"/>
          <w:sz w:val="24"/>
        </w:rPr>
        <w:t>本磋商文件适用于本次磋商活动的全过程。</w:t>
      </w:r>
    </w:p>
    <w:p>
      <w:pPr>
        <w:widowControl/>
        <w:snapToGrid w:val="0"/>
        <w:spacing w:line="360" w:lineRule="auto"/>
        <w:ind w:firstLine="482" w:firstLineChars="200"/>
        <w:jc w:val="left"/>
        <w:rPr>
          <w:b/>
          <w:bCs/>
          <w:color w:val="000000"/>
          <w:kern w:val="0"/>
          <w:sz w:val="24"/>
        </w:rPr>
      </w:pPr>
      <w:r>
        <w:rPr>
          <w:b/>
          <w:bCs/>
          <w:color w:val="000000"/>
          <w:kern w:val="0"/>
          <w:sz w:val="24"/>
        </w:rPr>
        <w:t>2.定义</w:t>
      </w:r>
    </w:p>
    <w:p>
      <w:pPr>
        <w:widowControl/>
        <w:snapToGrid w:val="0"/>
        <w:spacing w:line="360" w:lineRule="auto"/>
        <w:ind w:firstLine="480" w:firstLineChars="200"/>
        <w:jc w:val="left"/>
        <w:rPr>
          <w:color w:val="000000"/>
          <w:kern w:val="0"/>
          <w:sz w:val="24"/>
        </w:rPr>
      </w:pPr>
      <w:r>
        <w:rPr>
          <w:color w:val="000000"/>
          <w:kern w:val="0"/>
          <w:sz w:val="24"/>
        </w:rPr>
        <w:t>2.1“采购人”指本次磋商活动的采购单位，即“</w:t>
      </w:r>
      <w:r>
        <w:rPr>
          <w:rFonts w:hint="eastAsia"/>
          <w:color w:val="000000"/>
          <w:kern w:val="0"/>
          <w:sz w:val="24"/>
          <w:lang w:eastAsia="zh-CN"/>
        </w:rPr>
        <w:t>太原市迎泽区市场监督管理局</w:t>
      </w:r>
      <w:r>
        <w:rPr>
          <w:color w:val="000000"/>
          <w:kern w:val="0"/>
          <w:sz w:val="24"/>
        </w:rPr>
        <w:t>”。</w:t>
      </w:r>
    </w:p>
    <w:p>
      <w:pPr>
        <w:widowControl/>
        <w:snapToGrid w:val="0"/>
        <w:spacing w:line="360" w:lineRule="auto"/>
        <w:ind w:firstLine="480" w:firstLineChars="200"/>
        <w:jc w:val="left"/>
        <w:rPr>
          <w:color w:val="000000"/>
          <w:kern w:val="0"/>
          <w:sz w:val="24"/>
        </w:rPr>
      </w:pPr>
      <w:r>
        <w:rPr>
          <w:color w:val="000000"/>
          <w:kern w:val="0"/>
          <w:sz w:val="24"/>
        </w:rPr>
        <w:t>2.2“采购代理机构”指组织本次磋商活动的执行机构，即“山西省国际招标有限公司”。</w:t>
      </w:r>
    </w:p>
    <w:p>
      <w:pPr>
        <w:widowControl/>
        <w:snapToGrid w:val="0"/>
        <w:spacing w:line="360" w:lineRule="auto"/>
        <w:ind w:firstLine="480" w:firstLineChars="200"/>
        <w:jc w:val="left"/>
        <w:rPr>
          <w:color w:val="000000"/>
          <w:kern w:val="0"/>
          <w:sz w:val="24"/>
        </w:rPr>
      </w:pPr>
      <w:r>
        <w:rPr>
          <w:color w:val="000000"/>
          <w:kern w:val="0"/>
          <w:sz w:val="24"/>
        </w:rPr>
        <w:t>2.3“供应商”指符合本磋商文件规定并向采购代理机构提交响应文件的供应商。</w:t>
      </w:r>
    </w:p>
    <w:p>
      <w:pPr>
        <w:widowControl/>
        <w:snapToGrid w:val="0"/>
        <w:spacing w:line="360" w:lineRule="auto"/>
        <w:ind w:firstLine="480" w:firstLineChars="200"/>
        <w:jc w:val="left"/>
        <w:rPr>
          <w:color w:val="000000"/>
          <w:kern w:val="0"/>
          <w:sz w:val="24"/>
        </w:rPr>
      </w:pPr>
      <w:r>
        <w:rPr>
          <w:color w:val="000000"/>
          <w:kern w:val="0"/>
          <w:sz w:val="24"/>
        </w:rPr>
        <w:t>2.4“货物”指供应商按磋商文件中所述由供应商提供的所有货物。</w:t>
      </w:r>
    </w:p>
    <w:p>
      <w:pPr>
        <w:widowControl/>
        <w:snapToGrid w:val="0"/>
        <w:spacing w:line="360" w:lineRule="auto"/>
        <w:ind w:firstLine="480" w:firstLineChars="200"/>
        <w:jc w:val="left"/>
        <w:rPr>
          <w:color w:val="000000"/>
          <w:kern w:val="0"/>
          <w:sz w:val="24"/>
        </w:rPr>
      </w:pPr>
      <w:r>
        <w:rPr>
          <w:color w:val="000000"/>
          <w:kern w:val="0"/>
          <w:sz w:val="24"/>
        </w:rPr>
        <w:t>2.5“服务”指本磋商文件所述供应商应该履行的服务内容及承诺和义务。</w:t>
      </w:r>
    </w:p>
    <w:p>
      <w:pPr>
        <w:widowControl/>
        <w:snapToGrid w:val="0"/>
        <w:spacing w:line="360" w:lineRule="auto"/>
        <w:ind w:firstLine="482" w:firstLineChars="200"/>
        <w:jc w:val="left"/>
        <w:rPr>
          <w:b/>
          <w:bCs/>
          <w:color w:val="000000"/>
          <w:kern w:val="0"/>
          <w:sz w:val="24"/>
        </w:rPr>
      </w:pPr>
      <w:r>
        <w:rPr>
          <w:b/>
          <w:bCs/>
          <w:color w:val="000000"/>
          <w:kern w:val="0"/>
          <w:sz w:val="24"/>
        </w:rPr>
        <w:t>3.合格供应商的条件</w:t>
      </w:r>
    </w:p>
    <w:p>
      <w:pPr>
        <w:widowControl/>
        <w:snapToGrid w:val="0"/>
        <w:spacing w:line="360" w:lineRule="auto"/>
        <w:ind w:firstLine="480" w:firstLineChars="200"/>
        <w:jc w:val="left"/>
        <w:rPr>
          <w:color w:val="000000"/>
          <w:kern w:val="0"/>
          <w:sz w:val="24"/>
        </w:rPr>
      </w:pPr>
      <w:r>
        <w:rPr>
          <w:color w:val="000000"/>
          <w:kern w:val="0"/>
          <w:sz w:val="24"/>
        </w:rPr>
        <w:t>3.1具有本项目实施能力，符合、承认并承诺履行本磋商文件各项规定的国内供应商均可参加磋商。</w:t>
      </w:r>
    </w:p>
    <w:p>
      <w:pPr>
        <w:widowControl/>
        <w:snapToGrid w:val="0"/>
        <w:spacing w:line="360" w:lineRule="auto"/>
        <w:ind w:firstLine="480" w:firstLineChars="200"/>
        <w:jc w:val="left"/>
        <w:rPr>
          <w:color w:val="000000"/>
          <w:kern w:val="0"/>
          <w:sz w:val="24"/>
        </w:rPr>
      </w:pPr>
      <w:r>
        <w:rPr>
          <w:color w:val="000000"/>
          <w:kern w:val="0"/>
          <w:sz w:val="24"/>
        </w:rPr>
        <w:t>3.2具备《中华人民共和国政府采购法》第二十二条规定的条件和本项目所需的特定条件及有关法律、法规关于供应商的规定，有能力提供磋商采购服务的供应商。</w:t>
      </w:r>
    </w:p>
    <w:p>
      <w:pPr>
        <w:widowControl/>
        <w:snapToGrid w:val="0"/>
        <w:spacing w:line="360" w:lineRule="auto"/>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14:textFill>
            <w14:solidFill>
              <w14:schemeClr w14:val="tx1"/>
            </w14:solidFill>
          </w14:textFill>
        </w:rPr>
        <w:t>3.3落实政府采购政策需满足的资格要求：</w:t>
      </w:r>
      <w:r>
        <w:rPr>
          <w:color w:val="000000" w:themeColor="text1"/>
          <w:kern w:val="0"/>
          <w:sz w:val="24"/>
          <w:highlight w:val="none"/>
          <w14:textFill>
            <w14:solidFill>
              <w14:schemeClr w14:val="tx1"/>
            </w14:solidFill>
          </w14:textFill>
        </w:rPr>
        <w:t>本项目专门面向中小企业采购；</w:t>
      </w:r>
    </w:p>
    <w:p>
      <w:pPr>
        <w:widowControl/>
        <w:snapToGrid w:val="0"/>
        <w:spacing w:line="360" w:lineRule="auto"/>
        <w:ind w:firstLine="480" w:firstLineChars="20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3.4本项目的特定资格要求：</w:t>
      </w:r>
      <w:r>
        <w:rPr>
          <w:rFonts w:hint="eastAsia"/>
          <w:color w:val="000000" w:themeColor="text1"/>
          <w:kern w:val="0"/>
          <w:sz w:val="24"/>
          <w:highlight w:val="none"/>
          <w:lang w:eastAsia="zh-CN"/>
          <w14:textFill>
            <w14:solidFill>
              <w14:schemeClr w14:val="tx1"/>
            </w14:solidFill>
          </w14:textFill>
        </w:rPr>
        <w:t>具有国家认证认可监督管理委员会或省级市场监督管理部门颁发的有效的检验检测机构资质认定证书(CMA)</w:t>
      </w:r>
      <w:r>
        <w:rPr>
          <w:rFonts w:hint="default"/>
          <w:color w:val="000000" w:themeColor="text1"/>
          <w:kern w:val="0"/>
          <w:sz w:val="24"/>
          <w:highlight w:val="none"/>
          <w14:textFill>
            <w14:solidFill>
              <w14:schemeClr w14:val="tx1"/>
            </w14:solidFill>
          </w14:textFill>
        </w:rPr>
        <w:t>。</w:t>
      </w:r>
    </w:p>
    <w:p>
      <w:pPr>
        <w:widowControl/>
        <w:snapToGrid w:val="0"/>
        <w:spacing w:line="360" w:lineRule="auto"/>
        <w:ind w:firstLine="482" w:firstLineChars="200"/>
        <w:jc w:val="left"/>
        <w:rPr>
          <w:b/>
          <w:bCs/>
          <w:color w:val="000000"/>
          <w:kern w:val="0"/>
          <w:sz w:val="24"/>
        </w:rPr>
      </w:pPr>
      <w:r>
        <w:rPr>
          <w:b/>
          <w:bCs/>
          <w:color w:val="000000"/>
          <w:kern w:val="0"/>
          <w:sz w:val="24"/>
        </w:rPr>
        <w:t>4.报价费用</w:t>
      </w:r>
    </w:p>
    <w:p>
      <w:pPr>
        <w:widowControl/>
        <w:snapToGrid w:val="0"/>
        <w:spacing w:line="360" w:lineRule="auto"/>
        <w:ind w:firstLine="480" w:firstLineChars="200"/>
        <w:jc w:val="left"/>
        <w:rPr>
          <w:color w:val="000000"/>
          <w:kern w:val="0"/>
          <w:sz w:val="24"/>
        </w:rPr>
      </w:pPr>
      <w:r>
        <w:rPr>
          <w:color w:val="000000"/>
          <w:kern w:val="0"/>
          <w:sz w:val="24"/>
        </w:rPr>
        <w:t>供应商应承担所有与准备和参加磋商有关的费用，采购人和采购代理机构在任何情况下均无义务和责任承担这些费用。</w:t>
      </w:r>
    </w:p>
    <w:p>
      <w:pPr>
        <w:pStyle w:val="4"/>
        <w:snapToGrid w:val="0"/>
        <w:spacing w:before="0" w:after="0" w:line="360" w:lineRule="auto"/>
        <w:rPr>
          <w:rFonts w:ascii="Times New Roman" w:hAnsi="Times New Roman" w:eastAsia="宋体"/>
          <w:bCs/>
          <w:color w:val="000000"/>
          <w:kern w:val="0"/>
          <w:sz w:val="24"/>
        </w:rPr>
      </w:pPr>
      <w:bookmarkStart w:id="47" w:name="_Toc6541"/>
      <w:r>
        <w:rPr>
          <w:rFonts w:ascii="Times New Roman" w:hAnsi="Times New Roman" w:eastAsia="宋体"/>
          <w:bCs/>
          <w:color w:val="000000"/>
          <w:kern w:val="0"/>
          <w:sz w:val="24"/>
        </w:rPr>
        <w:t>二、磋商文件</w:t>
      </w:r>
      <w:bookmarkEnd w:id="47"/>
    </w:p>
    <w:p>
      <w:pPr>
        <w:widowControl/>
        <w:snapToGrid w:val="0"/>
        <w:spacing w:line="360" w:lineRule="auto"/>
        <w:ind w:firstLine="482" w:firstLineChars="200"/>
        <w:jc w:val="left"/>
        <w:rPr>
          <w:b/>
          <w:bCs/>
          <w:color w:val="000000"/>
          <w:kern w:val="0"/>
          <w:sz w:val="24"/>
        </w:rPr>
      </w:pPr>
      <w:r>
        <w:rPr>
          <w:b/>
          <w:bCs/>
          <w:color w:val="000000"/>
          <w:kern w:val="0"/>
          <w:sz w:val="24"/>
        </w:rPr>
        <w:t>5.磋商文件的内容</w:t>
      </w:r>
    </w:p>
    <w:p>
      <w:pPr>
        <w:widowControl/>
        <w:snapToGrid w:val="0"/>
        <w:spacing w:line="360" w:lineRule="auto"/>
        <w:ind w:firstLine="480" w:firstLineChars="200"/>
        <w:jc w:val="left"/>
        <w:rPr>
          <w:color w:val="000000"/>
          <w:kern w:val="0"/>
          <w:sz w:val="24"/>
        </w:rPr>
      </w:pPr>
      <w:r>
        <w:rPr>
          <w:color w:val="000000"/>
          <w:kern w:val="0"/>
          <w:sz w:val="24"/>
        </w:rPr>
        <w:t>磋商文件由下列五部分内容组成：</w:t>
      </w:r>
    </w:p>
    <w:p>
      <w:pPr>
        <w:widowControl/>
        <w:snapToGrid w:val="0"/>
        <w:spacing w:line="360" w:lineRule="auto"/>
        <w:ind w:firstLine="480" w:firstLineChars="200"/>
        <w:jc w:val="left"/>
        <w:rPr>
          <w:color w:val="000000"/>
          <w:kern w:val="0"/>
          <w:sz w:val="24"/>
        </w:rPr>
      </w:pPr>
      <w:r>
        <w:rPr>
          <w:color w:val="000000"/>
          <w:kern w:val="0"/>
          <w:sz w:val="24"/>
        </w:rPr>
        <w:t>第一部分 磋商邀请；</w:t>
      </w:r>
    </w:p>
    <w:p>
      <w:pPr>
        <w:widowControl/>
        <w:snapToGrid w:val="0"/>
        <w:spacing w:line="360" w:lineRule="auto"/>
        <w:ind w:firstLine="480" w:firstLineChars="200"/>
        <w:jc w:val="left"/>
        <w:rPr>
          <w:color w:val="000000"/>
          <w:kern w:val="0"/>
          <w:sz w:val="24"/>
        </w:rPr>
      </w:pPr>
      <w:r>
        <w:rPr>
          <w:color w:val="000000"/>
          <w:kern w:val="0"/>
          <w:sz w:val="24"/>
        </w:rPr>
        <w:t>第二部分 供应商须知；</w:t>
      </w:r>
    </w:p>
    <w:p>
      <w:pPr>
        <w:widowControl/>
        <w:snapToGrid w:val="0"/>
        <w:spacing w:line="360" w:lineRule="auto"/>
        <w:ind w:firstLine="480" w:firstLineChars="200"/>
        <w:jc w:val="left"/>
        <w:rPr>
          <w:color w:val="000000"/>
          <w:kern w:val="0"/>
          <w:sz w:val="24"/>
        </w:rPr>
      </w:pPr>
      <w:r>
        <w:rPr>
          <w:color w:val="000000"/>
          <w:kern w:val="0"/>
          <w:sz w:val="24"/>
        </w:rPr>
        <w:t>第三部分 商务、技术要求；</w:t>
      </w:r>
    </w:p>
    <w:p>
      <w:pPr>
        <w:widowControl/>
        <w:snapToGrid w:val="0"/>
        <w:spacing w:line="360" w:lineRule="auto"/>
        <w:ind w:firstLine="480" w:firstLineChars="200"/>
        <w:jc w:val="left"/>
        <w:rPr>
          <w:color w:val="000000"/>
          <w:kern w:val="0"/>
          <w:sz w:val="24"/>
        </w:rPr>
      </w:pPr>
      <w:r>
        <w:rPr>
          <w:color w:val="000000"/>
          <w:kern w:val="0"/>
          <w:sz w:val="24"/>
        </w:rPr>
        <w:t>第四部分 合同原则；</w:t>
      </w:r>
    </w:p>
    <w:p>
      <w:pPr>
        <w:widowControl/>
        <w:snapToGrid w:val="0"/>
        <w:spacing w:line="360" w:lineRule="auto"/>
        <w:ind w:firstLine="480" w:firstLineChars="200"/>
        <w:jc w:val="left"/>
        <w:rPr>
          <w:color w:val="000000"/>
          <w:kern w:val="0"/>
          <w:sz w:val="24"/>
        </w:rPr>
      </w:pPr>
      <w:r>
        <w:rPr>
          <w:color w:val="000000"/>
          <w:kern w:val="0"/>
          <w:sz w:val="24"/>
        </w:rPr>
        <w:t>第五部分 响应文件格式。</w:t>
      </w:r>
    </w:p>
    <w:p>
      <w:pPr>
        <w:widowControl/>
        <w:snapToGrid w:val="0"/>
        <w:spacing w:line="360" w:lineRule="auto"/>
        <w:ind w:firstLine="482" w:firstLineChars="200"/>
        <w:jc w:val="left"/>
        <w:rPr>
          <w:b/>
          <w:bCs/>
          <w:color w:val="000000"/>
          <w:kern w:val="0"/>
          <w:sz w:val="24"/>
        </w:rPr>
      </w:pPr>
      <w:r>
        <w:rPr>
          <w:b/>
          <w:bCs/>
          <w:color w:val="000000"/>
          <w:kern w:val="0"/>
          <w:sz w:val="24"/>
        </w:rPr>
        <w:t>6.磋商文件的澄清和修改</w:t>
      </w:r>
    </w:p>
    <w:p>
      <w:pPr>
        <w:snapToGrid w:val="0"/>
        <w:spacing w:line="360" w:lineRule="auto"/>
        <w:ind w:firstLine="480" w:firstLineChars="200"/>
        <w:rPr>
          <w:color w:val="000000"/>
          <w:kern w:val="0"/>
          <w:sz w:val="24"/>
        </w:rPr>
      </w:pPr>
      <w:r>
        <w:rPr>
          <w:color w:val="000000"/>
          <w:kern w:val="0"/>
          <w:sz w:val="24"/>
        </w:rPr>
        <w:t>6.1任何已登记并领取了磋商文件的潜在供应商，均可要求对磋商文件进行澄清，按磋商文件中的联系地址以书面形式送达采购代理机构。</w:t>
      </w:r>
    </w:p>
    <w:p>
      <w:pPr>
        <w:snapToGrid w:val="0"/>
        <w:spacing w:line="360" w:lineRule="auto"/>
        <w:ind w:firstLine="480" w:firstLineChars="200"/>
        <w:rPr>
          <w:color w:val="000000"/>
          <w:kern w:val="0"/>
          <w:sz w:val="24"/>
        </w:rPr>
      </w:pPr>
      <w:r>
        <w:rPr>
          <w:color w:val="000000"/>
          <w:kern w:val="0"/>
          <w:sz w:val="24"/>
        </w:rPr>
        <w:t>6.2递交首次响应文件截止之日前，采购代理机构可以对已发出的磋商文件进行必要的澄清或者修改，并通过中国政府采购网山西分网(http://www.ccgp-shanxi.gov.cn/home.html）通知所有下载磋商文件的供应商。</w:t>
      </w:r>
    </w:p>
    <w:p>
      <w:pPr>
        <w:snapToGrid w:val="0"/>
        <w:spacing w:line="360" w:lineRule="auto"/>
        <w:ind w:firstLine="480" w:firstLineChars="200"/>
        <w:rPr>
          <w:color w:val="000000"/>
          <w:kern w:val="0"/>
          <w:sz w:val="24"/>
        </w:rPr>
      </w:pPr>
      <w:r>
        <w:rPr>
          <w:color w:val="000000"/>
          <w:kern w:val="0"/>
          <w:sz w:val="24"/>
        </w:rPr>
        <w:t>6.3澄清或修改的内容可能影响响应文件编制的，采购代理机构将在提交首次响应文件截止时间至少5日前，通过中国政府采购网山西分网(http://www.ccgp-shanxi.gov.cn/home.html）通知所有下载磋商文件的供应商，不足5日的，将顺延递交首次响应文件截止之日。</w:t>
      </w:r>
    </w:p>
    <w:p>
      <w:pPr>
        <w:snapToGrid w:val="0"/>
        <w:spacing w:line="360" w:lineRule="auto"/>
        <w:ind w:firstLine="480" w:firstLineChars="200"/>
        <w:rPr>
          <w:color w:val="000000"/>
          <w:kern w:val="0"/>
          <w:sz w:val="24"/>
        </w:rPr>
      </w:pPr>
      <w:r>
        <w:rPr>
          <w:color w:val="000000"/>
          <w:kern w:val="0"/>
          <w:sz w:val="24"/>
        </w:rPr>
        <w:t>6.</w:t>
      </w:r>
      <w:r>
        <w:rPr>
          <w:rFonts w:hint="eastAsia"/>
          <w:color w:val="000000"/>
          <w:kern w:val="0"/>
          <w:sz w:val="24"/>
        </w:rPr>
        <w:t>4</w:t>
      </w:r>
      <w:r>
        <w:rPr>
          <w:color w:val="000000"/>
          <w:kern w:val="0"/>
          <w:sz w:val="24"/>
        </w:rPr>
        <w:t>澄清或者修改的内容作为磋商文件的组成部分，对所有供应商均具有约束力。</w:t>
      </w:r>
    </w:p>
    <w:p>
      <w:pPr>
        <w:topLinePunct/>
        <w:snapToGrid w:val="0"/>
        <w:spacing w:line="360" w:lineRule="auto"/>
        <w:ind w:firstLine="480" w:firstLineChars="200"/>
        <w:rPr>
          <w:color w:val="000000"/>
          <w:kern w:val="0"/>
          <w:sz w:val="24"/>
        </w:rPr>
      </w:pPr>
      <w:r>
        <w:rPr>
          <w:color w:val="000000"/>
          <w:kern w:val="0"/>
          <w:sz w:val="24"/>
        </w:rPr>
        <w:t>6.</w:t>
      </w:r>
      <w:r>
        <w:rPr>
          <w:rFonts w:hint="eastAsia"/>
          <w:color w:val="000000"/>
          <w:kern w:val="0"/>
          <w:sz w:val="24"/>
        </w:rPr>
        <w:t>5</w:t>
      </w:r>
      <w:r>
        <w:rPr>
          <w:color w:val="000000"/>
          <w:kern w:val="0"/>
          <w:sz w:val="24"/>
        </w:rPr>
        <w:t>如延长递交首次响应文件截止时间或项目因故暂停，采购代理机构将在磋商文件要求递交响应文件截止时间前，通过中国政府采购网山西分网(http://www.ccgp-shanxi.gov.cn/home.html）通知所有下载磋商文件的供应商。</w:t>
      </w:r>
    </w:p>
    <w:p>
      <w:pPr>
        <w:snapToGrid w:val="0"/>
        <w:spacing w:line="360" w:lineRule="auto"/>
        <w:ind w:firstLine="480" w:firstLineChars="200"/>
        <w:rPr>
          <w:color w:val="000000"/>
          <w:kern w:val="0"/>
          <w:sz w:val="24"/>
        </w:rPr>
      </w:pPr>
      <w:r>
        <w:rPr>
          <w:color w:val="000000"/>
          <w:kern w:val="0"/>
          <w:sz w:val="24"/>
        </w:rPr>
        <w:t>6.</w:t>
      </w:r>
      <w:r>
        <w:rPr>
          <w:rFonts w:hint="eastAsia"/>
          <w:color w:val="000000"/>
          <w:kern w:val="0"/>
          <w:sz w:val="24"/>
        </w:rPr>
        <w:t>6</w:t>
      </w:r>
      <w:r>
        <w:rPr>
          <w:color w:val="000000"/>
          <w:kern w:val="0"/>
          <w:sz w:val="24"/>
        </w:rPr>
        <w:t>采购代理机构将视情况确定是否有必要召开标前会。如果召开标前会，采购代理机构将向所有已经领取了磋商文件的潜在供应商发出通知。</w:t>
      </w:r>
    </w:p>
    <w:p>
      <w:pPr>
        <w:pStyle w:val="4"/>
        <w:snapToGrid w:val="0"/>
        <w:spacing w:before="0" w:after="0" w:line="360" w:lineRule="auto"/>
        <w:rPr>
          <w:rFonts w:ascii="Times New Roman" w:hAnsi="Times New Roman" w:eastAsia="宋体"/>
          <w:bCs/>
          <w:color w:val="000000"/>
          <w:kern w:val="0"/>
          <w:sz w:val="24"/>
        </w:rPr>
      </w:pPr>
      <w:bookmarkStart w:id="48" w:name="_Toc24326"/>
      <w:r>
        <w:rPr>
          <w:rFonts w:ascii="Times New Roman" w:hAnsi="Times New Roman" w:eastAsia="宋体"/>
          <w:bCs/>
          <w:color w:val="000000"/>
          <w:kern w:val="0"/>
          <w:sz w:val="24"/>
        </w:rPr>
        <w:t>三、响应文件</w:t>
      </w:r>
      <w:bookmarkEnd w:id="48"/>
    </w:p>
    <w:p>
      <w:pPr>
        <w:widowControl/>
        <w:snapToGrid w:val="0"/>
        <w:spacing w:line="360" w:lineRule="auto"/>
        <w:ind w:firstLine="482" w:firstLineChars="200"/>
        <w:jc w:val="left"/>
        <w:rPr>
          <w:b/>
          <w:bCs/>
          <w:color w:val="000000"/>
          <w:kern w:val="0"/>
          <w:sz w:val="24"/>
        </w:rPr>
      </w:pPr>
      <w:r>
        <w:rPr>
          <w:b/>
          <w:bCs/>
          <w:color w:val="000000"/>
          <w:kern w:val="0"/>
          <w:sz w:val="24"/>
        </w:rPr>
        <w:t>7.响应文件的语言和计量单位</w:t>
      </w:r>
    </w:p>
    <w:p>
      <w:pPr>
        <w:widowControl/>
        <w:snapToGrid w:val="0"/>
        <w:spacing w:line="360" w:lineRule="auto"/>
        <w:ind w:firstLine="480" w:firstLineChars="200"/>
        <w:jc w:val="left"/>
        <w:rPr>
          <w:color w:val="000000"/>
          <w:kern w:val="0"/>
          <w:sz w:val="24"/>
        </w:rPr>
      </w:pPr>
      <w:r>
        <w:rPr>
          <w:color w:val="000000"/>
          <w:kern w:val="0"/>
          <w:sz w:val="24"/>
        </w:rPr>
        <w:t>7.1供应商提交的响应文件（包括技术文件和资料、图纸中的说明）以及供应商与采购代理机构就有关报价的所有来往函电均应使用中文简体字。</w:t>
      </w:r>
    </w:p>
    <w:p>
      <w:pPr>
        <w:widowControl/>
        <w:snapToGrid w:val="0"/>
        <w:spacing w:line="360" w:lineRule="auto"/>
        <w:ind w:firstLine="480" w:firstLineChars="200"/>
        <w:jc w:val="left"/>
        <w:rPr>
          <w:color w:val="000000"/>
          <w:kern w:val="0"/>
          <w:sz w:val="24"/>
        </w:rPr>
      </w:pPr>
      <w:r>
        <w:rPr>
          <w:color w:val="000000"/>
          <w:kern w:val="0"/>
          <w:sz w:val="24"/>
        </w:rPr>
        <w:t>7.2响应文件所使用的计量单位，应使用国家法定计量单位。</w:t>
      </w:r>
    </w:p>
    <w:p>
      <w:pPr>
        <w:widowControl/>
        <w:snapToGrid w:val="0"/>
        <w:spacing w:line="360" w:lineRule="auto"/>
        <w:ind w:firstLine="480" w:firstLineChars="200"/>
        <w:jc w:val="left"/>
        <w:rPr>
          <w:color w:val="000000"/>
          <w:kern w:val="0"/>
          <w:sz w:val="24"/>
        </w:rPr>
      </w:pPr>
      <w:r>
        <w:rPr>
          <w:color w:val="000000"/>
          <w:kern w:val="0"/>
          <w:sz w:val="24"/>
        </w:rPr>
        <w:t>7.3原版为外文的证书类文件，以及由外国人做出的本人签名、外国公司的名称或外国印章等必须提供中文翻译文件或说明材料并加盖供应商公章。</w:t>
      </w:r>
    </w:p>
    <w:p>
      <w:pPr>
        <w:widowControl/>
        <w:snapToGrid w:val="0"/>
        <w:spacing w:line="360" w:lineRule="auto"/>
        <w:ind w:firstLine="480" w:firstLineChars="200"/>
        <w:jc w:val="left"/>
        <w:rPr>
          <w:color w:val="000000"/>
          <w:kern w:val="0"/>
          <w:sz w:val="24"/>
        </w:rPr>
      </w:pPr>
      <w:r>
        <w:rPr>
          <w:color w:val="000000"/>
          <w:kern w:val="0"/>
          <w:sz w:val="24"/>
        </w:rPr>
        <w:t>原版为外文的证书类、证明类文件，与供应商名称或其它实际情况不符的，供应商应当提供相关证明文件，否则不予认可。</w:t>
      </w:r>
    </w:p>
    <w:p>
      <w:pPr>
        <w:widowControl/>
        <w:snapToGrid w:val="0"/>
        <w:spacing w:line="360" w:lineRule="auto"/>
        <w:ind w:firstLine="482" w:firstLineChars="200"/>
        <w:jc w:val="left"/>
        <w:rPr>
          <w:b/>
          <w:bCs/>
          <w:color w:val="000000"/>
          <w:kern w:val="0"/>
          <w:sz w:val="24"/>
        </w:rPr>
      </w:pPr>
      <w:r>
        <w:rPr>
          <w:b/>
          <w:bCs/>
          <w:color w:val="000000"/>
          <w:kern w:val="0"/>
          <w:sz w:val="24"/>
        </w:rPr>
        <w:t>8.响应文件的组成及相关要求</w:t>
      </w:r>
    </w:p>
    <w:p>
      <w:pPr>
        <w:widowControl/>
        <w:snapToGrid w:val="0"/>
        <w:spacing w:line="360" w:lineRule="auto"/>
        <w:ind w:firstLine="480" w:firstLineChars="200"/>
        <w:jc w:val="left"/>
        <w:rPr>
          <w:color w:val="000000"/>
          <w:kern w:val="0"/>
          <w:sz w:val="24"/>
        </w:rPr>
      </w:pPr>
      <w:r>
        <w:rPr>
          <w:color w:val="000000"/>
          <w:kern w:val="0"/>
          <w:sz w:val="24"/>
        </w:rPr>
        <w:t>8.1响应文件分为商务部分和技术部分。响应文件所有内容须装订为一册。</w:t>
      </w:r>
    </w:p>
    <w:p>
      <w:pPr>
        <w:widowControl/>
        <w:snapToGrid w:val="0"/>
        <w:spacing w:line="360" w:lineRule="auto"/>
        <w:ind w:firstLine="480" w:firstLineChars="200"/>
        <w:rPr>
          <w:color w:val="000000"/>
          <w:kern w:val="0"/>
          <w:sz w:val="24"/>
        </w:rPr>
      </w:pPr>
      <w:r>
        <w:rPr>
          <w:color w:val="000000"/>
          <w:kern w:val="0"/>
          <w:sz w:val="24"/>
        </w:rPr>
        <w:t>商务部分指供应商提交的证明其有资格参加报价和成交后有能力履行合同的文件。</w:t>
      </w:r>
    </w:p>
    <w:p>
      <w:pPr>
        <w:widowControl/>
        <w:snapToGrid w:val="0"/>
        <w:spacing w:line="360" w:lineRule="auto"/>
        <w:ind w:firstLine="480" w:firstLineChars="200"/>
        <w:rPr>
          <w:color w:val="000000"/>
          <w:kern w:val="0"/>
          <w:sz w:val="24"/>
        </w:rPr>
      </w:pPr>
      <w:r>
        <w:rPr>
          <w:color w:val="000000"/>
          <w:kern w:val="0"/>
          <w:sz w:val="24"/>
        </w:rPr>
        <w:t>技术部分指供应商提交的能够证明供应商提供的服务符合磋商文件规定的文件。</w:t>
      </w:r>
    </w:p>
    <w:p>
      <w:pPr>
        <w:widowControl/>
        <w:snapToGrid w:val="0"/>
        <w:spacing w:line="360" w:lineRule="auto"/>
        <w:ind w:firstLine="480" w:firstLineChars="200"/>
        <w:jc w:val="left"/>
        <w:rPr>
          <w:color w:val="000000"/>
          <w:kern w:val="0"/>
          <w:sz w:val="24"/>
        </w:rPr>
      </w:pPr>
      <w:r>
        <w:rPr>
          <w:color w:val="000000"/>
          <w:kern w:val="0"/>
          <w:sz w:val="24"/>
        </w:rPr>
        <w:t>本次磋商，供应商应按本磋商文件要求提交商务、技术部分内容和需要供应商自行编写的其他文件（部分格式详见磋商文件第五部分）。</w:t>
      </w:r>
    </w:p>
    <w:p>
      <w:pPr>
        <w:widowControl/>
        <w:snapToGrid w:val="0"/>
        <w:spacing w:line="360" w:lineRule="auto"/>
        <w:ind w:firstLine="480" w:firstLineChars="200"/>
        <w:jc w:val="left"/>
        <w:rPr>
          <w:color w:val="000000"/>
          <w:kern w:val="0"/>
          <w:sz w:val="24"/>
        </w:rPr>
      </w:pPr>
      <w:r>
        <w:rPr>
          <w:color w:val="000000"/>
          <w:kern w:val="0"/>
          <w:sz w:val="24"/>
        </w:rPr>
        <w:t>8.2响应文件要求内容及编排顺序</w:t>
      </w:r>
    </w:p>
    <w:p>
      <w:pPr>
        <w:widowControl/>
        <w:snapToGrid w:val="0"/>
        <w:spacing w:line="360" w:lineRule="auto"/>
        <w:ind w:firstLine="480" w:firstLineChars="200"/>
        <w:jc w:val="left"/>
        <w:rPr>
          <w:color w:val="000000"/>
          <w:kern w:val="0"/>
          <w:sz w:val="24"/>
        </w:rPr>
      </w:pPr>
      <w:r>
        <w:rPr>
          <w:color w:val="000000"/>
          <w:kern w:val="0"/>
          <w:sz w:val="24"/>
        </w:rPr>
        <w:t>（1）</w:t>
      </w:r>
      <w:r>
        <w:rPr>
          <w:b/>
          <w:color w:val="000000"/>
          <w:kern w:val="0"/>
          <w:sz w:val="24"/>
        </w:rPr>
        <w:t>商务部分：</w:t>
      </w:r>
    </w:p>
    <w:p>
      <w:pPr>
        <w:widowControl/>
        <w:snapToGrid w:val="0"/>
        <w:spacing w:line="360" w:lineRule="auto"/>
        <w:ind w:firstLine="480" w:firstLineChars="200"/>
        <w:jc w:val="left"/>
        <w:rPr>
          <w:color w:val="000000"/>
          <w:kern w:val="0"/>
          <w:sz w:val="24"/>
        </w:rPr>
      </w:pPr>
      <w:r>
        <w:rPr>
          <w:color w:val="000000"/>
          <w:kern w:val="0"/>
          <w:sz w:val="24"/>
        </w:rPr>
        <w:t>报价函（见‘响应文件格式’）；</w:t>
      </w:r>
    </w:p>
    <w:p>
      <w:pPr>
        <w:widowControl/>
        <w:snapToGrid w:val="0"/>
        <w:spacing w:line="360" w:lineRule="auto"/>
        <w:ind w:firstLine="480" w:firstLineChars="200"/>
        <w:jc w:val="left"/>
        <w:rPr>
          <w:color w:val="000000"/>
          <w:kern w:val="0"/>
          <w:sz w:val="24"/>
        </w:rPr>
      </w:pPr>
      <w:r>
        <w:rPr>
          <w:color w:val="000000"/>
          <w:kern w:val="0"/>
          <w:sz w:val="24"/>
        </w:rPr>
        <w:t>法定代表人身份证明书（见‘响应文件格式’）；</w:t>
      </w:r>
    </w:p>
    <w:p>
      <w:pPr>
        <w:widowControl/>
        <w:snapToGrid w:val="0"/>
        <w:spacing w:line="360" w:lineRule="auto"/>
        <w:ind w:firstLine="480" w:firstLineChars="200"/>
        <w:jc w:val="left"/>
        <w:rPr>
          <w:color w:val="000000"/>
          <w:kern w:val="0"/>
          <w:sz w:val="24"/>
        </w:rPr>
      </w:pPr>
      <w:r>
        <w:rPr>
          <w:color w:val="000000"/>
          <w:kern w:val="0"/>
          <w:sz w:val="24"/>
        </w:rPr>
        <w:t>法人授权委托书（见‘响应文件格式’）；</w:t>
      </w:r>
    </w:p>
    <w:p>
      <w:pPr>
        <w:widowControl/>
        <w:snapToGrid w:val="0"/>
        <w:spacing w:line="360" w:lineRule="auto"/>
        <w:ind w:firstLine="480" w:firstLineChars="200"/>
        <w:jc w:val="left"/>
        <w:rPr>
          <w:color w:val="000000"/>
          <w:kern w:val="0"/>
          <w:sz w:val="24"/>
        </w:rPr>
      </w:pPr>
      <w:r>
        <w:rPr>
          <w:color w:val="000000"/>
          <w:kern w:val="0"/>
          <w:sz w:val="24"/>
        </w:rPr>
        <w:t>营业执照副本，或事业单位法人证书副本，或自然人身份证明，或其他非企业组织证明，即独立承担民事责任能力的证明文件复印件或扫描件；</w:t>
      </w:r>
    </w:p>
    <w:p>
      <w:pPr>
        <w:widowControl/>
        <w:snapToGrid w:val="0"/>
        <w:spacing w:line="360" w:lineRule="auto"/>
        <w:ind w:firstLine="480" w:firstLineChars="200"/>
        <w:jc w:val="left"/>
        <w:rPr>
          <w:color w:val="000000"/>
          <w:kern w:val="0"/>
          <w:sz w:val="24"/>
        </w:rPr>
      </w:pPr>
      <w:r>
        <w:rPr>
          <w:color w:val="000000"/>
          <w:kern w:val="0"/>
          <w:sz w:val="24"/>
        </w:rPr>
        <w:t>供应商信用承诺书（见‘响应文件格式’）；</w:t>
      </w:r>
    </w:p>
    <w:p>
      <w:pPr>
        <w:widowControl/>
        <w:snapToGrid w:val="0"/>
        <w:spacing w:line="360" w:lineRule="auto"/>
        <w:ind w:firstLine="480" w:firstLineChars="200"/>
        <w:jc w:val="left"/>
        <w:rPr>
          <w:color w:val="000000"/>
          <w:kern w:val="0"/>
          <w:sz w:val="24"/>
          <w:highlight w:val="none"/>
        </w:rPr>
      </w:pPr>
      <w:r>
        <w:rPr>
          <w:rFonts w:hint="eastAsia"/>
          <w:color w:val="000000"/>
          <w:kern w:val="0"/>
          <w:sz w:val="24"/>
          <w:highlight w:val="none"/>
          <w:lang w:eastAsia="zh-CN"/>
        </w:rPr>
        <w:t>具有国家认证认可监督管理委员会或省级市场监督管理部门颁发的有效的检验检测机构资质认定证书(CMA)</w:t>
      </w:r>
      <w:r>
        <w:rPr>
          <w:rFonts w:hint="eastAsia"/>
          <w:color w:val="000000"/>
          <w:kern w:val="0"/>
          <w:sz w:val="24"/>
          <w:highlight w:val="none"/>
          <w:lang w:val="en-US" w:eastAsia="zh-CN"/>
        </w:rPr>
        <w:t>复印件或扫描件</w:t>
      </w:r>
      <w:r>
        <w:rPr>
          <w:rFonts w:hint="default"/>
          <w:color w:val="000000"/>
          <w:kern w:val="0"/>
          <w:sz w:val="24"/>
          <w:highlight w:val="none"/>
        </w:rPr>
        <w:t>。</w:t>
      </w:r>
    </w:p>
    <w:p>
      <w:pPr>
        <w:widowControl/>
        <w:snapToGrid w:val="0"/>
        <w:spacing w:line="360" w:lineRule="auto"/>
        <w:ind w:firstLine="480" w:firstLineChars="200"/>
        <w:jc w:val="left"/>
        <w:rPr>
          <w:color w:val="000000"/>
          <w:kern w:val="0"/>
          <w:sz w:val="24"/>
        </w:rPr>
      </w:pPr>
      <w:r>
        <w:rPr>
          <w:color w:val="000000"/>
          <w:kern w:val="0"/>
          <w:sz w:val="24"/>
        </w:rPr>
        <w:t>保证金电汇底单或电子保函复印件或扫描件；</w:t>
      </w:r>
    </w:p>
    <w:p>
      <w:pPr>
        <w:widowControl/>
        <w:snapToGrid w:val="0"/>
        <w:spacing w:line="360" w:lineRule="auto"/>
        <w:ind w:firstLine="480" w:firstLineChars="200"/>
        <w:jc w:val="left"/>
        <w:rPr>
          <w:color w:val="000000"/>
          <w:kern w:val="0"/>
          <w:sz w:val="24"/>
        </w:rPr>
      </w:pPr>
      <w:r>
        <w:rPr>
          <w:color w:val="000000"/>
          <w:kern w:val="0"/>
          <w:sz w:val="24"/>
        </w:rPr>
        <w:t>银行开户许可证或者银行开户证明文件或基本存款账户信息复印件或扫描件；</w:t>
      </w:r>
    </w:p>
    <w:p>
      <w:pPr>
        <w:widowControl/>
        <w:snapToGrid w:val="0"/>
        <w:spacing w:line="360" w:lineRule="auto"/>
        <w:ind w:firstLine="480" w:firstLineChars="200"/>
        <w:jc w:val="left"/>
        <w:rPr>
          <w:color w:val="000000"/>
          <w:kern w:val="0"/>
          <w:sz w:val="24"/>
        </w:rPr>
      </w:pPr>
      <w:r>
        <w:rPr>
          <w:color w:val="000000"/>
          <w:kern w:val="0"/>
          <w:sz w:val="24"/>
        </w:rPr>
        <w:t>同类项目案例及相关证明资料；</w:t>
      </w:r>
    </w:p>
    <w:p>
      <w:pPr>
        <w:widowControl/>
        <w:snapToGrid w:val="0"/>
        <w:spacing w:line="360" w:lineRule="auto"/>
        <w:ind w:firstLine="480" w:firstLineChars="200"/>
        <w:jc w:val="left"/>
        <w:rPr>
          <w:color w:val="000000"/>
          <w:kern w:val="0"/>
          <w:sz w:val="24"/>
        </w:rPr>
      </w:pPr>
      <w:r>
        <w:rPr>
          <w:color w:val="000000"/>
          <w:kern w:val="0"/>
          <w:sz w:val="24"/>
        </w:rPr>
        <w:t>供应商企业简况；</w:t>
      </w:r>
    </w:p>
    <w:p>
      <w:pPr>
        <w:widowControl/>
        <w:snapToGrid w:val="0"/>
        <w:spacing w:line="360" w:lineRule="auto"/>
        <w:ind w:firstLine="480" w:firstLineChars="200"/>
        <w:jc w:val="left"/>
        <w:rPr>
          <w:color w:val="000000"/>
          <w:kern w:val="0"/>
          <w:sz w:val="24"/>
        </w:rPr>
      </w:pPr>
      <w:r>
        <w:rPr>
          <w:color w:val="000000"/>
          <w:kern w:val="0"/>
          <w:sz w:val="24"/>
        </w:rPr>
        <w:t>保证金退还登记表；</w:t>
      </w:r>
    </w:p>
    <w:p>
      <w:pPr>
        <w:widowControl/>
        <w:snapToGrid w:val="0"/>
        <w:spacing w:line="360" w:lineRule="auto"/>
        <w:ind w:firstLine="480" w:firstLineChars="200"/>
        <w:jc w:val="left"/>
        <w:rPr>
          <w:kern w:val="0"/>
          <w:sz w:val="24"/>
        </w:rPr>
      </w:pPr>
      <w:r>
        <w:rPr>
          <w:kern w:val="0"/>
          <w:sz w:val="24"/>
        </w:rPr>
        <w:t>《中小企业声明函》（供应商根据自身情况填写）；</w:t>
      </w:r>
    </w:p>
    <w:p>
      <w:pPr>
        <w:widowControl/>
        <w:snapToGrid w:val="0"/>
        <w:spacing w:line="360" w:lineRule="auto"/>
        <w:ind w:firstLine="480" w:firstLineChars="200"/>
        <w:jc w:val="left"/>
        <w:rPr>
          <w:kern w:val="0"/>
          <w:sz w:val="24"/>
        </w:rPr>
      </w:pPr>
      <w:r>
        <w:rPr>
          <w:kern w:val="0"/>
          <w:sz w:val="24"/>
        </w:rPr>
        <w:t>《残疾人福利性单位声明函》（供应商根据自身情况填写）；</w:t>
      </w:r>
    </w:p>
    <w:p>
      <w:pPr>
        <w:widowControl/>
        <w:snapToGrid w:val="0"/>
        <w:spacing w:line="360" w:lineRule="auto"/>
        <w:ind w:firstLine="480" w:firstLineChars="200"/>
        <w:jc w:val="left"/>
        <w:rPr>
          <w:color w:val="000000"/>
          <w:kern w:val="0"/>
          <w:sz w:val="24"/>
        </w:rPr>
      </w:pPr>
      <w:r>
        <w:rPr>
          <w:kern w:val="0"/>
          <w:sz w:val="24"/>
        </w:rPr>
        <w:t>供应商认为需要提供的其他商务材料。</w:t>
      </w:r>
    </w:p>
    <w:p>
      <w:pPr>
        <w:widowControl/>
        <w:snapToGrid w:val="0"/>
        <w:spacing w:line="360" w:lineRule="auto"/>
        <w:ind w:firstLine="480" w:firstLineChars="200"/>
        <w:jc w:val="left"/>
        <w:rPr>
          <w:color w:val="000000"/>
          <w:kern w:val="0"/>
          <w:sz w:val="24"/>
        </w:rPr>
      </w:pPr>
      <w:r>
        <w:rPr>
          <w:color w:val="000000"/>
          <w:kern w:val="0"/>
          <w:sz w:val="24"/>
        </w:rPr>
        <w:t>（2）</w:t>
      </w:r>
      <w:r>
        <w:rPr>
          <w:b/>
          <w:color w:val="000000"/>
          <w:kern w:val="0"/>
          <w:sz w:val="24"/>
        </w:rPr>
        <w:t>技术部分：</w:t>
      </w:r>
    </w:p>
    <w:p>
      <w:pPr>
        <w:widowControl/>
        <w:snapToGrid w:val="0"/>
        <w:spacing w:line="360" w:lineRule="auto"/>
        <w:ind w:firstLine="480" w:firstLineChars="200"/>
        <w:jc w:val="left"/>
        <w:rPr>
          <w:color w:val="000000"/>
          <w:kern w:val="0"/>
          <w:sz w:val="24"/>
        </w:rPr>
      </w:pPr>
      <w:r>
        <w:rPr>
          <w:color w:val="000000"/>
          <w:kern w:val="0"/>
          <w:sz w:val="24"/>
        </w:rPr>
        <w:t>报价一览表（</w:t>
      </w:r>
      <w:r>
        <w:rPr>
          <w:kern w:val="0"/>
          <w:sz w:val="24"/>
        </w:rPr>
        <w:t>见</w:t>
      </w:r>
      <w:r>
        <w:rPr>
          <w:color w:val="000000"/>
          <w:kern w:val="0"/>
          <w:sz w:val="24"/>
        </w:rPr>
        <w:t>‘响应文件格式’）；</w:t>
      </w:r>
    </w:p>
    <w:p>
      <w:pPr>
        <w:widowControl/>
        <w:snapToGrid w:val="0"/>
        <w:spacing w:line="360" w:lineRule="auto"/>
        <w:ind w:firstLine="480" w:firstLineChars="200"/>
        <w:jc w:val="left"/>
        <w:rPr>
          <w:kern w:val="0"/>
          <w:sz w:val="24"/>
        </w:rPr>
      </w:pPr>
      <w:r>
        <w:rPr>
          <w:rFonts w:hint="eastAsia" w:hAnsi="宋体"/>
          <w:color w:val="000000"/>
          <w:kern w:val="0"/>
          <w:sz w:val="24"/>
        </w:rPr>
        <w:t>技术服务方案</w:t>
      </w:r>
      <w:r>
        <w:rPr>
          <w:kern w:val="0"/>
          <w:sz w:val="24"/>
        </w:rPr>
        <w:t>；</w:t>
      </w:r>
    </w:p>
    <w:p>
      <w:pPr>
        <w:widowControl/>
        <w:snapToGrid w:val="0"/>
        <w:spacing w:line="360" w:lineRule="auto"/>
        <w:ind w:firstLine="480" w:firstLineChars="200"/>
        <w:jc w:val="left"/>
        <w:rPr>
          <w:color w:val="000000"/>
          <w:kern w:val="0"/>
          <w:sz w:val="24"/>
        </w:rPr>
      </w:pPr>
      <w:r>
        <w:rPr>
          <w:color w:val="000000"/>
          <w:kern w:val="0"/>
          <w:sz w:val="24"/>
        </w:rPr>
        <w:t>供应商认为需要提供的其他技术材料。</w:t>
      </w:r>
    </w:p>
    <w:p>
      <w:pPr>
        <w:widowControl/>
        <w:snapToGrid w:val="0"/>
        <w:spacing w:line="360" w:lineRule="auto"/>
        <w:ind w:firstLine="480" w:firstLineChars="200"/>
        <w:jc w:val="left"/>
        <w:rPr>
          <w:color w:val="000000"/>
          <w:kern w:val="0"/>
          <w:sz w:val="24"/>
        </w:rPr>
      </w:pPr>
      <w:r>
        <w:rPr>
          <w:color w:val="000000"/>
          <w:kern w:val="0"/>
          <w:sz w:val="24"/>
        </w:rPr>
        <w:t>8.3响应文件使用宋体字，按照磋商文件所规定的内容顺序，</w:t>
      </w:r>
      <w:r>
        <w:rPr>
          <w:b/>
          <w:color w:val="000000"/>
          <w:kern w:val="0"/>
          <w:sz w:val="24"/>
        </w:rPr>
        <w:t>统一编目、编页码</w:t>
      </w:r>
      <w:r>
        <w:rPr>
          <w:color w:val="000000"/>
          <w:kern w:val="0"/>
          <w:sz w:val="24"/>
        </w:rPr>
        <w:t>（响应文件中复印件及彩色宣传资料等均须与响应文件正文一起逐页编排页码）。提交的纸质响应文件规格幅面A4，装订须采用胶订形式，不得采用活页装订</w:t>
      </w:r>
      <w:r>
        <w:rPr>
          <w:b/>
          <w:color w:val="000000"/>
          <w:kern w:val="0"/>
          <w:sz w:val="24"/>
        </w:rPr>
        <w:t>。</w:t>
      </w:r>
    </w:p>
    <w:p>
      <w:pPr>
        <w:widowControl/>
        <w:snapToGrid w:val="0"/>
        <w:spacing w:line="360" w:lineRule="auto"/>
        <w:ind w:firstLine="480" w:firstLineChars="200"/>
        <w:jc w:val="left"/>
        <w:rPr>
          <w:color w:val="000000"/>
          <w:kern w:val="0"/>
          <w:sz w:val="24"/>
        </w:rPr>
      </w:pPr>
      <w:r>
        <w:rPr>
          <w:color w:val="000000"/>
          <w:kern w:val="0"/>
          <w:sz w:val="24"/>
        </w:rPr>
        <w:t>为方便评审，响应文件中的各项表格必须按照磋商文件第五部分格式要求制作。</w:t>
      </w:r>
    </w:p>
    <w:p>
      <w:pPr>
        <w:widowControl/>
        <w:snapToGrid w:val="0"/>
        <w:spacing w:line="360" w:lineRule="auto"/>
        <w:ind w:firstLine="480" w:firstLineChars="200"/>
        <w:jc w:val="left"/>
        <w:rPr>
          <w:color w:val="000000"/>
          <w:kern w:val="0"/>
          <w:sz w:val="24"/>
        </w:rPr>
      </w:pPr>
      <w:r>
        <w:rPr>
          <w:color w:val="000000"/>
          <w:kern w:val="0"/>
          <w:sz w:val="24"/>
        </w:rPr>
        <w:t>8.4保证金</w:t>
      </w:r>
    </w:p>
    <w:p>
      <w:pPr>
        <w:widowControl/>
        <w:snapToGrid w:val="0"/>
        <w:spacing w:line="360" w:lineRule="auto"/>
        <w:ind w:firstLine="480" w:firstLineChars="200"/>
        <w:jc w:val="left"/>
        <w:rPr>
          <w:color w:val="000000"/>
          <w:kern w:val="0"/>
          <w:sz w:val="24"/>
        </w:rPr>
      </w:pPr>
      <w:r>
        <w:rPr>
          <w:color w:val="000000"/>
          <w:kern w:val="0"/>
          <w:sz w:val="24"/>
        </w:rPr>
        <w:t>（1）供应商须在磋商截止日期前提交包1:</w:t>
      </w:r>
      <w:r>
        <w:rPr>
          <w:rFonts w:hint="eastAsia"/>
          <w:color w:val="000000"/>
          <w:kern w:val="0"/>
          <w:sz w:val="24"/>
          <w:lang w:val="en-US" w:eastAsia="zh-CN"/>
        </w:rPr>
        <w:t>44</w:t>
      </w:r>
      <w:r>
        <w:rPr>
          <w:rFonts w:hint="eastAsia"/>
          <w:color w:val="000000"/>
          <w:kern w:val="0"/>
          <w:sz w:val="24"/>
        </w:rPr>
        <w:t>00</w:t>
      </w:r>
      <w:r>
        <w:rPr>
          <w:color w:val="000000"/>
          <w:kern w:val="0"/>
          <w:sz w:val="24"/>
        </w:rPr>
        <w:t>元、包2:</w:t>
      </w:r>
      <w:r>
        <w:rPr>
          <w:rFonts w:hint="eastAsia"/>
          <w:color w:val="000000"/>
          <w:kern w:val="0"/>
          <w:sz w:val="24"/>
          <w:lang w:val="en-US" w:eastAsia="zh-CN"/>
        </w:rPr>
        <w:t>44</w:t>
      </w:r>
      <w:r>
        <w:rPr>
          <w:rFonts w:hint="eastAsia"/>
          <w:color w:val="000000"/>
          <w:kern w:val="0"/>
          <w:sz w:val="24"/>
        </w:rPr>
        <w:t>00</w:t>
      </w:r>
      <w:r>
        <w:rPr>
          <w:color w:val="000000"/>
          <w:kern w:val="0"/>
          <w:sz w:val="24"/>
        </w:rPr>
        <w:t>元、包3:</w:t>
      </w:r>
      <w:r>
        <w:rPr>
          <w:rFonts w:hint="eastAsia"/>
          <w:color w:val="000000"/>
          <w:kern w:val="0"/>
          <w:sz w:val="24"/>
          <w:lang w:val="en-US" w:eastAsia="zh-CN"/>
        </w:rPr>
        <w:t>44</w:t>
      </w:r>
      <w:r>
        <w:rPr>
          <w:rFonts w:hint="eastAsia"/>
          <w:color w:val="000000"/>
          <w:kern w:val="0"/>
          <w:sz w:val="24"/>
        </w:rPr>
        <w:t>00</w:t>
      </w:r>
      <w:r>
        <w:rPr>
          <w:color w:val="000000"/>
          <w:kern w:val="0"/>
          <w:sz w:val="24"/>
        </w:rPr>
        <w:t>元、包4:</w:t>
      </w:r>
      <w:r>
        <w:rPr>
          <w:rFonts w:hint="eastAsia"/>
          <w:color w:val="000000"/>
          <w:kern w:val="0"/>
          <w:sz w:val="24"/>
          <w:lang w:val="en-US" w:eastAsia="zh-CN"/>
        </w:rPr>
        <w:t>2900</w:t>
      </w:r>
      <w:r>
        <w:rPr>
          <w:color w:val="000000"/>
          <w:kern w:val="0"/>
          <w:sz w:val="24"/>
        </w:rPr>
        <w:t>元、包5:</w:t>
      </w:r>
      <w:r>
        <w:rPr>
          <w:rFonts w:hint="eastAsia"/>
          <w:color w:val="000000"/>
          <w:kern w:val="0"/>
          <w:sz w:val="24"/>
          <w:lang w:val="en-US" w:eastAsia="zh-CN"/>
        </w:rPr>
        <w:t>2900</w:t>
      </w:r>
      <w:r>
        <w:rPr>
          <w:color w:val="000000"/>
          <w:kern w:val="0"/>
          <w:sz w:val="24"/>
        </w:rPr>
        <w:t>元、包6:</w:t>
      </w:r>
      <w:r>
        <w:rPr>
          <w:rFonts w:hint="eastAsia"/>
          <w:color w:val="000000"/>
          <w:kern w:val="0"/>
          <w:sz w:val="24"/>
          <w:lang w:val="en-US" w:eastAsia="zh-CN"/>
        </w:rPr>
        <w:t>2800</w:t>
      </w:r>
      <w:r>
        <w:rPr>
          <w:color w:val="000000"/>
          <w:kern w:val="0"/>
          <w:sz w:val="24"/>
        </w:rPr>
        <w:t>元、包7:</w:t>
      </w:r>
      <w:r>
        <w:rPr>
          <w:rFonts w:hint="eastAsia"/>
          <w:color w:val="000000"/>
          <w:kern w:val="0"/>
          <w:sz w:val="24"/>
          <w:lang w:val="en-US" w:eastAsia="zh-CN"/>
        </w:rPr>
        <w:t>2000</w:t>
      </w:r>
      <w:r>
        <w:rPr>
          <w:color w:val="000000"/>
          <w:kern w:val="0"/>
          <w:sz w:val="24"/>
        </w:rPr>
        <w:t>元</w:t>
      </w:r>
      <w:r>
        <w:rPr>
          <w:rFonts w:hint="eastAsia"/>
          <w:color w:val="000000"/>
          <w:kern w:val="0"/>
          <w:sz w:val="24"/>
          <w:lang w:eastAsia="zh-CN"/>
        </w:rPr>
        <w:t>、</w:t>
      </w:r>
      <w:r>
        <w:rPr>
          <w:rFonts w:hint="eastAsia"/>
          <w:color w:val="000000"/>
          <w:kern w:val="0"/>
          <w:sz w:val="24"/>
          <w:lang w:val="en-US" w:eastAsia="zh-CN"/>
        </w:rPr>
        <w:t>包8:1100元</w:t>
      </w:r>
      <w:r>
        <w:rPr>
          <w:color w:val="000000"/>
          <w:kern w:val="0"/>
          <w:sz w:val="24"/>
        </w:rPr>
        <w:t>作为保证金。</w:t>
      </w:r>
    </w:p>
    <w:p>
      <w:pPr>
        <w:widowControl/>
        <w:snapToGrid w:val="0"/>
        <w:spacing w:line="360" w:lineRule="auto"/>
        <w:ind w:firstLine="480" w:firstLineChars="200"/>
        <w:jc w:val="left"/>
        <w:rPr>
          <w:color w:val="000000"/>
          <w:kern w:val="0"/>
          <w:sz w:val="24"/>
        </w:rPr>
      </w:pPr>
      <w:r>
        <w:rPr>
          <w:color w:val="000000"/>
          <w:kern w:val="0"/>
          <w:sz w:val="24"/>
        </w:rPr>
        <w:t>（2）该保证金须采用电汇（转账）或保函等形式交纳。</w:t>
      </w:r>
    </w:p>
    <w:p>
      <w:pPr>
        <w:widowControl/>
        <w:tabs>
          <w:tab w:val="left" w:pos="3960"/>
        </w:tabs>
        <w:snapToGrid w:val="0"/>
        <w:spacing w:line="360" w:lineRule="auto"/>
        <w:ind w:firstLine="480" w:firstLineChars="200"/>
        <w:jc w:val="left"/>
        <w:rPr>
          <w:color w:val="000000"/>
          <w:kern w:val="0"/>
          <w:sz w:val="24"/>
        </w:rPr>
      </w:pPr>
      <w:r>
        <w:rPr>
          <w:color w:val="000000"/>
          <w:kern w:val="0"/>
          <w:sz w:val="24"/>
        </w:rPr>
        <w:t>收款单位：山西省国际招标有限公司</w:t>
      </w:r>
    </w:p>
    <w:p>
      <w:pPr>
        <w:widowControl/>
        <w:tabs>
          <w:tab w:val="left" w:pos="2775"/>
        </w:tabs>
        <w:snapToGrid w:val="0"/>
        <w:spacing w:line="360" w:lineRule="auto"/>
        <w:ind w:firstLine="480" w:firstLineChars="200"/>
        <w:jc w:val="left"/>
        <w:rPr>
          <w:color w:val="000000"/>
          <w:kern w:val="0"/>
          <w:sz w:val="24"/>
        </w:rPr>
      </w:pPr>
      <w:r>
        <w:rPr>
          <w:color w:val="000000"/>
          <w:kern w:val="0"/>
          <w:sz w:val="24"/>
        </w:rPr>
        <w:t>开 户 行：中国银行股份有限公司太原鼓楼支行</w:t>
      </w:r>
    </w:p>
    <w:p>
      <w:pPr>
        <w:widowControl/>
        <w:snapToGrid w:val="0"/>
        <w:spacing w:line="360" w:lineRule="auto"/>
        <w:ind w:firstLine="480" w:firstLineChars="200"/>
        <w:jc w:val="left"/>
        <w:rPr>
          <w:color w:val="000000"/>
          <w:kern w:val="0"/>
          <w:sz w:val="24"/>
        </w:rPr>
      </w:pPr>
      <w:r>
        <w:rPr>
          <w:color w:val="000000"/>
          <w:kern w:val="0"/>
          <w:sz w:val="24"/>
        </w:rPr>
        <w:t>帐    号：</w:t>
      </w:r>
      <w:r>
        <w:rPr>
          <w:color w:val="000000"/>
          <w:sz w:val="24"/>
        </w:rPr>
        <w:t>147951527391</w:t>
      </w:r>
    </w:p>
    <w:p>
      <w:pPr>
        <w:widowControl/>
        <w:snapToGrid w:val="0"/>
        <w:spacing w:line="360" w:lineRule="auto"/>
        <w:ind w:firstLine="480" w:firstLineChars="200"/>
        <w:jc w:val="left"/>
        <w:rPr>
          <w:color w:val="000000"/>
          <w:kern w:val="0"/>
          <w:sz w:val="24"/>
        </w:rPr>
      </w:pPr>
      <w:r>
        <w:rPr>
          <w:color w:val="000000"/>
          <w:kern w:val="0"/>
          <w:sz w:val="24"/>
        </w:rPr>
        <w:t>（3）供应商的保证金交纳后，须在响应文件中将汇款或转账凭单复印件附上，否则视为未提交。</w:t>
      </w:r>
    </w:p>
    <w:p>
      <w:pPr>
        <w:widowControl/>
        <w:snapToGrid w:val="0"/>
        <w:spacing w:line="360" w:lineRule="auto"/>
        <w:ind w:firstLine="480" w:firstLineChars="200"/>
        <w:jc w:val="left"/>
        <w:rPr>
          <w:color w:val="000000"/>
          <w:kern w:val="0"/>
          <w:sz w:val="24"/>
        </w:rPr>
      </w:pPr>
      <w:r>
        <w:rPr>
          <w:color w:val="000000"/>
          <w:kern w:val="0"/>
          <w:sz w:val="24"/>
        </w:rPr>
        <w:t>（4）未按前述各款要求提交保证金，或所提交保证金不完全符合各项要求的报价，将被视为无效报价。</w:t>
      </w:r>
    </w:p>
    <w:p>
      <w:pPr>
        <w:widowControl/>
        <w:snapToGrid w:val="0"/>
        <w:spacing w:line="360" w:lineRule="auto"/>
        <w:ind w:firstLine="480" w:firstLineChars="200"/>
        <w:jc w:val="left"/>
        <w:rPr>
          <w:color w:val="000000"/>
          <w:kern w:val="0"/>
          <w:sz w:val="24"/>
        </w:rPr>
      </w:pPr>
      <w:r>
        <w:rPr>
          <w:color w:val="000000"/>
          <w:kern w:val="0"/>
          <w:sz w:val="24"/>
        </w:rPr>
        <w:t>（5）在成交通知书发出之日起5个工作日内退还未成交的供应商投标保证金（不计利息），因退款信息不全或供应商未提供退款信息产生的延迟退款，采购代理机构不承担相应责任。</w:t>
      </w:r>
    </w:p>
    <w:p>
      <w:pPr>
        <w:widowControl/>
        <w:snapToGrid w:val="0"/>
        <w:spacing w:line="360" w:lineRule="auto"/>
        <w:ind w:firstLine="480" w:firstLineChars="200"/>
        <w:jc w:val="left"/>
        <w:rPr>
          <w:color w:val="000000"/>
          <w:kern w:val="0"/>
          <w:sz w:val="24"/>
        </w:rPr>
      </w:pPr>
      <w:r>
        <w:rPr>
          <w:color w:val="000000"/>
          <w:kern w:val="0"/>
          <w:sz w:val="24"/>
        </w:rPr>
        <w:t>（6）成交供应商的保证金，在政府采购合同签订之日起5个工作日内退还投标保证金（不计利息）。</w:t>
      </w:r>
    </w:p>
    <w:p>
      <w:pPr>
        <w:widowControl/>
        <w:snapToGrid w:val="0"/>
        <w:spacing w:line="360" w:lineRule="auto"/>
        <w:ind w:firstLine="475" w:firstLineChars="198"/>
        <w:jc w:val="left"/>
        <w:rPr>
          <w:color w:val="000000"/>
          <w:kern w:val="0"/>
          <w:sz w:val="24"/>
        </w:rPr>
      </w:pPr>
      <w:r>
        <w:rPr>
          <w:color w:val="000000"/>
          <w:kern w:val="0"/>
          <w:sz w:val="24"/>
        </w:rPr>
        <w:t>8.5报价</w:t>
      </w:r>
    </w:p>
    <w:p>
      <w:pPr>
        <w:widowControl/>
        <w:snapToGrid w:val="0"/>
        <w:spacing w:line="360" w:lineRule="auto"/>
        <w:ind w:firstLine="475" w:firstLineChars="198"/>
        <w:jc w:val="left"/>
        <w:rPr>
          <w:color w:val="000000"/>
          <w:kern w:val="0"/>
          <w:sz w:val="24"/>
        </w:rPr>
      </w:pPr>
      <w:r>
        <w:rPr>
          <w:rFonts w:hint="default" w:ascii="Times New Roman" w:hAnsi="Times New Roman" w:cs="Times New Roman"/>
          <w:color w:val="000000"/>
          <w:kern w:val="0"/>
          <w:sz w:val="24"/>
          <w:highlight w:val="none"/>
        </w:rPr>
        <w:t>所有报价均以人民币元为计算单位。只要投报了一个确定数额的总价，无论分项价格是否全部填报了相应的金额或免费字样，报价应被视为已经包含了但并不限于购买各项相关服务的费用。在其它情况下，由于分项报价填报不完整、不清楚或存在其它任何失误，所导致的任何不利后果均应当由供应商自行承担。</w:t>
      </w:r>
    </w:p>
    <w:p>
      <w:pPr>
        <w:widowControl/>
        <w:snapToGrid w:val="0"/>
        <w:spacing w:line="360" w:lineRule="auto"/>
        <w:ind w:firstLine="482" w:firstLineChars="200"/>
        <w:jc w:val="left"/>
        <w:rPr>
          <w:b/>
          <w:bCs/>
          <w:color w:val="000000"/>
          <w:kern w:val="0"/>
          <w:sz w:val="24"/>
        </w:rPr>
      </w:pPr>
      <w:r>
        <w:rPr>
          <w:b/>
          <w:bCs/>
          <w:color w:val="000000"/>
          <w:kern w:val="0"/>
          <w:sz w:val="24"/>
        </w:rPr>
        <w:t>9.报价内容填写说明</w:t>
      </w:r>
    </w:p>
    <w:p>
      <w:pPr>
        <w:widowControl/>
        <w:snapToGrid w:val="0"/>
        <w:spacing w:line="360" w:lineRule="auto"/>
        <w:ind w:firstLine="480" w:firstLineChars="200"/>
        <w:jc w:val="left"/>
        <w:rPr>
          <w:color w:val="000000"/>
          <w:kern w:val="0"/>
          <w:sz w:val="24"/>
        </w:rPr>
      </w:pPr>
      <w:r>
        <w:rPr>
          <w:color w:val="000000"/>
          <w:kern w:val="0"/>
          <w:sz w:val="24"/>
        </w:rPr>
        <w:t>9.1供应商应详细阅读磋商文件的全部内容。响应文件须对磋商文件中的内容做出实质性和完整性的响应</w:t>
      </w:r>
      <w:r>
        <w:rPr>
          <w:b/>
          <w:color w:val="000000"/>
          <w:kern w:val="0"/>
          <w:sz w:val="24"/>
        </w:rPr>
        <w:t>。</w:t>
      </w:r>
    </w:p>
    <w:p>
      <w:pPr>
        <w:widowControl/>
        <w:snapToGrid w:val="0"/>
        <w:spacing w:line="360" w:lineRule="auto"/>
        <w:ind w:firstLine="480" w:firstLineChars="200"/>
        <w:jc w:val="left"/>
        <w:rPr>
          <w:color w:val="000000"/>
          <w:kern w:val="0"/>
          <w:sz w:val="24"/>
        </w:rPr>
      </w:pPr>
      <w:r>
        <w:rPr>
          <w:color w:val="000000"/>
          <w:kern w:val="0"/>
          <w:sz w:val="24"/>
        </w:rPr>
        <w:t>9.2供应商完全照搬照抄磋商文件商务、技术要求，并未提供相关资料或提供资料不详的，磋商小组有权决定是否通知供应商限期进行书面解释或提供相关证明材料。若已要求，而该供应商在规定期限内未做出解释、做出的解释不合理或不能提供证明材料的，磋商小组有权在评审报告中对该供应商响应文件响应情况进行说明，经综合评判是否推荐该供应商为成交供应商，情节严重的，否决该供应商报价。</w:t>
      </w:r>
    </w:p>
    <w:p>
      <w:pPr>
        <w:widowControl/>
        <w:snapToGrid w:val="0"/>
        <w:spacing w:line="360" w:lineRule="auto"/>
        <w:ind w:firstLine="480" w:firstLineChars="200"/>
        <w:jc w:val="left"/>
        <w:rPr>
          <w:color w:val="000000"/>
          <w:kern w:val="0"/>
          <w:sz w:val="24"/>
        </w:rPr>
      </w:pPr>
      <w:r>
        <w:rPr>
          <w:color w:val="000000"/>
          <w:kern w:val="0"/>
          <w:sz w:val="24"/>
        </w:rPr>
        <w:t>9.3供应商必须保证响应文件所提供的全部资料真实可靠，并接受磋商小组对其中任何资料进一步审查的要求。</w:t>
      </w:r>
    </w:p>
    <w:p>
      <w:pPr>
        <w:widowControl/>
        <w:snapToGrid w:val="0"/>
        <w:spacing w:line="360" w:lineRule="auto"/>
        <w:ind w:firstLine="482" w:firstLineChars="200"/>
        <w:jc w:val="left"/>
        <w:rPr>
          <w:b/>
          <w:bCs/>
          <w:color w:val="000000"/>
          <w:kern w:val="0"/>
          <w:sz w:val="24"/>
        </w:rPr>
      </w:pPr>
      <w:r>
        <w:rPr>
          <w:b/>
          <w:bCs/>
          <w:color w:val="000000"/>
          <w:kern w:val="0"/>
          <w:sz w:val="24"/>
        </w:rPr>
        <w:t>10.响应文件的有效期</w:t>
      </w:r>
    </w:p>
    <w:p>
      <w:pPr>
        <w:widowControl/>
        <w:snapToGrid w:val="0"/>
        <w:spacing w:line="360" w:lineRule="auto"/>
        <w:ind w:firstLine="480" w:firstLineChars="200"/>
        <w:jc w:val="left"/>
        <w:rPr>
          <w:color w:val="000000"/>
          <w:kern w:val="0"/>
          <w:sz w:val="24"/>
        </w:rPr>
      </w:pPr>
      <w:r>
        <w:rPr>
          <w:color w:val="000000"/>
          <w:kern w:val="0"/>
          <w:sz w:val="24"/>
        </w:rPr>
        <w:t>本项目响应文件的有效期为90个日历天。</w:t>
      </w:r>
      <w:r>
        <w:rPr>
          <w:b/>
          <w:color w:val="000000"/>
          <w:kern w:val="0"/>
          <w:sz w:val="24"/>
        </w:rPr>
        <w:t>有效期短于该规定期限的报价将被拒绝。</w:t>
      </w:r>
    </w:p>
    <w:p>
      <w:pPr>
        <w:widowControl/>
        <w:snapToGrid w:val="0"/>
        <w:spacing w:line="360" w:lineRule="auto"/>
        <w:ind w:firstLine="482" w:firstLineChars="200"/>
        <w:jc w:val="left"/>
        <w:rPr>
          <w:b/>
          <w:bCs/>
          <w:color w:val="000000"/>
          <w:kern w:val="0"/>
          <w:sz w:val="24"/>
        </w:rPr>
      </w:pPr>
      <w:r>
        <w:rPr>
          <w:b/>
          <w:bCs/>
          <w:color w:val="000000"/>
          <w:kern w:val="0"/>
          <w:sz w:val="24"/>
        </w:rPr>
        <w:t>11.响应文件的签署及其他规定</w:t>
      </w:r>
    </w:p>
    <w:p>
      <w:pPr>
        <w:widowControl/>
        <w:snapToGrid w:val="0"/>
        <w:spacing w:line="360" w:lineRule="auto"/>
        <w:ind w:firstLine="480" w:firstLineChars="200"/>
        <w:jc w:val="left"/>
        <w:rPr>
          <w:color w:val="000000"/>
          <w:kern w:val="0"/>
          <w:sz w:val="24"/>
        </w:rPr>
      </w:pPr>
      <w:r>
        <w:rPr>
          <w:color w:val="000000"/>
          <w:kern w:val="0"/>
          <w:sz w:val="24"/>
        </w:rPr>
        <w:t>11.1组成响应文件的各项文件均应遵守本条。</w:t>
      </w:r>
    </w:p>
    <w:p>
      <w:pPr>
        <w:widowControl/>
        <w:snapToGrid w:val="0"/>
        <w:spacing w:line="360" w:lineRule="auto"/>
        <w:ind w:firstLine="480" w:firstLineChars="200"/>
        <w:jc w:val="left"/>
        <w:rPr>
          <w:color w:val="000000"/>
          <w:kern w:val="0"/>
          <w:sz w:val="24"/>
        </w:rPr>
      </w:pPr>
      <w:r>
        <w:rPr>
          <w:color w:val="000000"/>
          <w:kern w:val="0"/>
          <w:sz w:val="24"/>
        </w:rPr>
        <w:t>11.2供应商在响应文件及相关文件的签订、履行、通知等事项的书面文件中的“单位盖章”、“印章”、“公章”等处均仅指与当事人名称全称相一致的标准公章，不得使用其它（如带有“专用章”等字样）的印章，否则，</w:t>
      </w:r>
      <w:r>
        <w:rPr>
          <w:b/>
          <w:color w:val="000000"/>
          <w:kern w:val="0"/>
          <w:sz w:val="24"/>
        </w:rPr>
        <w:t>磋商小组有权拒绝该报价。</w:t>
      </w:r>
    </w:p>
    <w:p>
      <w:pPr>
        <w:widowControl/>
        <w:snapToGrid w:val="0"/>
        <w:spacing w:line="360" w:lineRule="auto"/>
        <w:ind w:firstLine="480" w:firstLineChars="200"/>
        <w:jc w:val="left"/>
        <w:rPr>
          <w:color w:val="000000"/>
          <w:kern w:val="0"/>
          <w:sz w:val="24"/>
        </w:rPr>
      </w:pPr>
      <w:r>
        <w:rPr>
          <w:color w:val="000000"/>
          <w:kern w:val="0"/>
          <w:sz w:val="24"/>
        </w:rPr>
        <w:t>11.3供应商应按照磋商文件要求签字、盖章。</w:t>
      </w:r>
    </w:p>
    <w:p>
      <w:pPr>
        <w:widowControl/>
        <w:snapToGrid w:val="0"/>
        <w:spacing w:line="360" w:lineRule="auto"/>
        <w:ind w:firstLine="480" w:firstLineChars="200"/>
        <w:jc w:val="left"/>
        <w:rPr>
          <w:color w:val="000000"/>
          <w:kern w:val="0"/>
          <w:sz w:val="24"/>
        </w:rPr>
      </w:pPr>
      <w:r>
        <w:rPr>
          <w:color w:val="000000"/>
          <w:kern w:val="0"/>
          <w:sz w:val="24"/>
        </w:rPr>
        <w:t>11.4供应商须注意：为合理节约政府采购评审成本，提倡诚实信用的报价行为，特别要求供应商应本着诚信精神，在响应文件的偏离文件中，以审慎的态度明确、清楚地披露各项偏离。若供应商对某一事项是否存在或是否属于偏离不能确定，亦必须在偏离表中清楚地表明该偏离事项，并可以注明‘不能确定’的字样。</w:t>
      </w:r>
    </w:p>
    <w:p>
      <w:pPr>
        <w:widowControl/>
        <w:snapToGrid w:val="0"/>
        <w:spacing w:line="360" w:lineRule="auto"/>
        <w:ind w:firstLine="480" w:firstLineChars="200"/>
        <w:jc w:val="left"/>
        <w:rPr>
          <w:color w:val="000000"/>
          <w:kern w:val="0"/>
          <w:sz w:val="24"/>
        </w:rPr>
      </w:pPr>
      <w:r>
        <w:rPr>
          <w:color w:val="000000"/>
          <w:kern w:val="0"/>
          <w:sz w:val="24"/>
        </w:rPr>
        <w:t>如果响应文件中未提供偏离表，将视为全部响应磋商文件要求。</w:t>
      </w:r>
    </w:p>
    <w:p>
      <w:pPr>
        <w:widowControl/>
        <w:snapToGrid w:val="0"/>
        <w:spacing w:line="360" w:lineRule="auto"/>
        <w:ind w:firstLine="480" w:firstLineChars="200"/>
        <w:jc w:val="left"/>
        <w:rPr>
          <w:color w:val="000000"/>
          <w:kern w:val="0"/>
          <w:sz w:val="24"/>
        </w:rPr>
      </w:pPr>
      <w:r>
        <w:rPr>
          <w:color w:val="000000"/>
          <w:kern w:val="0"/>
          <w:sz w:val="24"/>
        </w:rPr>
        <w:t>11.5供应商应按本磋商文件所要求的纸质响应文件的份数提交响应文件。供应商应保证电子版响应文件和纸质版响应文件一致。</w:t>
      </w:r>
    </w:p>
    <w:p>
      <w:pPr>
        <w:pStyle w:val="4"/>
        <w:snapToGrid w:val="0"/>
        <w:spacing w:before="0" w:after="0" w:line="360" w:lineRule="auto"/>
        <w:rPr>
          <w:rFonts w:ascii="Times New Roman" w:hAnsi="Times New Roman" w:eastAsia="宋体"/>
          <w:bCs/>
          <w:color w:val="000000"/>
          <w:kern w:val="0"/>
          <w:sz w:val="24"/>
        </w:rPr>
      </w:pPr>
      <w:bookmarkStart w:id="49" w:name="_Toc30684"/>
      <w:r>
        <w:rPr>
          <w:rFonts w:ascii="Times New Roman" w:hAnsi="Times New Roman" w:eastAsia="宋体"/>
          <w:bCs/>
          <w:color w:val="000000"/>
          <w:kern w:val="0"/>
          <w:sz w:val="24"/>
        </w:rPr>
        <w:t>四、响应文件的递交</w:t>
      </w:r>
      <w:bookmarkEnd w:id="49"/>
    </w:p>
    <w:p>
      <w:pPr>
        <w:widowControl/>
        <w:snapToGrid w:val="0"/>
        <w:spacing w:line="360" w:lineRule="auto"/>
        <w:ind w:firstLine="480" w:firstLineChars="200"/>
        <w:jc w:val="left"/>
        <w:rPr>
          <w:color w:val="000000"/>
          <w:kern w:val="0"/>
          <w:sz w:val="24"/>
        </w:rPr>
      </w:pPr>
      <w:r>
        <w:rPr>
          <w:color w:val="000000"/>
          <w:kern w:val="0"/>
          <w:sz w:val="24"/>
        </w:rPr>
        <w:t>12.</w:t>
      </w:r>
      <w:r>
        <w:rPr>
          <w:b/>
          <w:bCs/>
          <w:color w:val="000000"/>
          <w:kern w:val="0"/>
          <w:sz w:val="24"/>
        </w:rPr>
        <w:t>响应文件的提交</w:t>
      </w:r>
    </w:p>
    <w:p>
      <w:pPr>
        <w:widowControl/>
        <w:snapToGrid w:val="0"/>
        <w:spacing w:line="360" w:lineRule="auto"/>
        <w:ind w:firstLine="480" w:firstLineChars="200"/>
        <w:jc w:val="left"/>
        <w:rPr>
          <w:color w:val="000000"/>
          <w:kern w:val="0"/>
          <w:sz w:val="24"/>
        </w:rPr>
      </w:pPr>
      <w:r>
        <w:rPr>
          <w:color w:val="000000"/>
          <w:kern w:val="0"/>
          <w:sz w:val="24"/>
        </w:rPr>
        <w:t>12.1电子响应文件递交及格式要求</w:t>
      </w:r>
    </w:p>
    <w:p>
      <w:pPr>
        <w:widowControl/>
        <w:snapToGrid w:val="0"/>
        <w:spacing w:line="360" w:lineRule="auto"/>
        <w:ind w:firstLine="480" w:firstLineChars="200"/>
        <w:jc w:val="left"/>
        <w:rPr>
          <w:color w:val="000000"/>
          <w:kern w:val="0"/>
          <w:sz w:val="24"/>
        </w:rPr>
      </w:pPr>
      <w:r>
        <w:rPr>
          <w:color w:val="000000"/>
          <w:kern w:val="0"/>
          <w:sz w:val="24"/>
        </w:rPr>
        <w:t>电子响应文件须使用平台提供的投标文件编制工具编制完成，磋商截止时间前在政采云平台投标客户端(http://www. ccgp-shanxi.gov.cn/sxCategory15/sxCategory202/sxCategory20201/327. html)完成递交（上传），递交截止时间前未完成响应文件上传的，视为撤回响应文件，供应商自行承担责任。</w:t>
      </w:r>
    </w:p>
    <w:p>
      <w:pPr>
        <w:widowControl/>
        <w:snapToGrid w:val="0"/>
        <w:spacing w:line="360" w:lineRule="auto"/>
        <w:ind w:firstLine="480" w:firstLineChars="200"/>
        <w:jc w:val="left"/>
        <w:rPr>
          <w:color w:val="000000"/>
          <w:kern w:val="0"/>
          <w:sz w:val="24"/>
        </w:rPr>
      </w:pPr>
      <w:r>
        <w:rPr>
          <w:color w:val="000000"/>
          <w:kern w:val="0"/>
          <w:sz w:val="24"/>
        </w:rPr>
        <w:t>12.2供应商需要提供纸质版响应文件</w:t>
      </w:r>
      <w:r>
        <w:rPr>
          <w:rFonts w:hint="eastAsia"/>
          <w:color w:val="000000"/>
          <w:kern w:val="0"/>
          <w:sz w:val="24"/>
          <w:lang w:eastAsia="zh-CN"/>
        </w:rPr>
        <w:t>壹份</w:t>
      </w:r>
      <w:r>
        <w:rPr>
          <w:color w:val="000000"/>
          <w:kern w:val="0"/>
          <w:sz w:val="24"/>
        </w:rPr>
        <w:t>，用于项目存档使用。请在截止时间当天1</w:t>
      </w:r>
      <w:r>
        <w:rPr>
          <w:rFonts w:hint="eastAsia"/>
          <w:color w:val="000000"/>
          <w:kern w:val="0"/>
          <w:sz w:val="24"/>
          <w:lang w:val="en-US" w:eastAsia="zh-CN"/>
        </w:rPr>
        <w:t>7</w:t>
      </w:r>
      <w:r>
        <w:rPr>
          <w:color w:val="000000"/>
          <w:kern w:val="0"/>
          <w:sz w:val="24"/>
        </w:rPr>
        <w:t>:00前邮寄到或送至采购代理机构。</w:t>
      </w:r>
    </w:p>
    <w:p>
      <w:pPr>
        <w:widowControl/>
        <w:snapToGrid w:val="0"/>
        <w:spacing w:line="360" w:lineRule="auto"/>
        <w:ind w:firstLine="482" w:firstLineChars="200"/>
        <w:jc w:val="left"/>
        <w:rPr>
          <w:b/>
          <w:bCs/>
          <w:color w:val="000000"/>
          <w:kern w:val="0"/>
          <w:sz w:val="24"/>
        </w:rPr>
      </w:pPr>
      <w:r>
        <w:rPr>
          <w:b/>
          <w:bCs/>
          <w:color w:val="000000"/>
          <w:kern w:val="0"/>
          <w:sz w:val="24"/>
        </w:rPr>
        <w:t>13.响应文件开启</w:t>
      </w:r>
    </w:p>
    <w:p>
      <w:pPr>
        <w:widowControl/>
        <w:snapToGrid w:val="0"/>
        <w:spacing w:line="360" w:lineRule="auto"/>
        <w:ind w:firstLine="480" w:firstLineChars="200"/>
        <w:jc w:val="left"/>
        <w:rPr>
          <w:color w:val="000000"/>
          <w:kern w:val="0"/>
          <w:sz w:val="24"/>
        </w:rPr>
      </w:pPr>
      <w:r>
        <w:rPr>
          <w:color w:val="000000"/>
          <w:kern w:val="0"/>
          <w:sz w:val="24"/>
        </w:rPr>
        <w:t>13.1电子版和纸质版响应文件须按照磋商文件规定的时间、地点上传或送达。在磋商截止时间以后上传的响应文件，</w:t>
      </w:r>
      <w:r>
        <w:rPr>
          <w:b/>
          <w:color w:val="000000"/>
          <w:kern w:val="0"/>
          <w:sz w:val="24"/>
        </w:rPr>
        <w:t>采购代理机构拒绝接收其纸质版响应文件。</w:t>
      </w:r>
    </w:p>
    <w:p>
      <w:pPr>
        <w:widowControl/>
        <w:snapToGrid w:val="0"/>
        <w:spacing w:line="360" w:lineRule="auto"/>
        <w:ind w:firstLine="516" w:firstLineChars="215"/>
        <w:jc w:val="left"/>
        <w:rPr>
          <w:color w:val="000000"/>
          <w:kern w:val="0"/>
          <w:sz w:val="24"/>
        </w:rPr>
      </w:pPr>
      <w:r>
        <w:rPr>
          <w:color w:val="000000"/>
          <w:kern w:val="0"/>
          <w:sz w:val="24"/>
        </w:rPr>
        <w:t>13.2纸质响应文件</w:t>
      </w:r>
    </w:p>
    <w:p>
      <w:pPr>
        <w:widowControl/>
        <w:snapToGrid w:val="0"/>
        <w:spacing w:line="360" w:lineRule="auto"/>
        <w:ind w:firstLine="516" w:firstLineChars="215"/>
        <w:jc w:val="left"/>
        <w:rPr>
          <w:color w:val="000000"/>
          <w:kern w:val="0"/>
          <w:sz w:val="24"/>
        </w:rPr>
      </w:pPr>
      <w:r>
        <w:rPr>
          <w:color w:val="000000"/>
          <w:kern w:val="0"/>
          <w:sz w:val="24"/>
        </w:rPr>
        <w:t>(1)纸质响应文件仅作为项目存档使用。</w:t>
      </w:r>
    </w:p>
    <w:p>
      <w:pPr>
        <w:widowControl/>
        <w:snapToGrid w:val="0"/>
        <w:spacing w:line="360" w:lineRule="auto"/>
        <w:ind w:firstLine="516" w:firstLineChars="215"/>
        <w:jc w:val="left"/>
        <w:rPr>
          <w:color w:val="000000"/>
          <w:kern w:val="0"/>
          <w:sz w:val="24"/>
        </w:rPr>
      </w:pPr>
      <w:r>
        <w:rPr>
          <w:color w:val="000000"/>
          <w:kern w:val="0"/>
          <w:sz w:val="24"/>
        </w:rPr>
        <w:t>(2)供应商所提交的电子响应文件与纸质响应文件不一致时以电子响应文件为准。</w:t>
      </w:r>
    </w:p>
    <w:p>
      <w:pPr>
        <w:widowControl/>
        <w:snapToGrid w:val="0"/>
        <w:spacing w:line="360" w:lineRule="auto"/>
        <w:ind w:firstLine="516" w:firstLineChars="215"/>
        <w:jc w:val="left"/>
        <w:rPr>
          <w:color w:val="000000"/>
          <w:kern w:val="0"/>
          <w:sz w:val="24"/>
        </w:rPr>
      </w:pPr>
      <w:r>
        <w:rPr>
          <w:color w:val="000000"/>
          <w:kern w:val="0"/>
          <w:sz w:val="24"/>
        </w:rPr>
        <w:t>13.3电子响应文件解密</w:t>
      </w:r>
    </w:p>
    <w:p>
      <w:pPr>
        <w:widowControl/>
        <w:snapToGrid w:val="0"/>
        <w:spacing w:line="360" w:lineRule="auto"/>
        <w:ind w:firstLine="516" w:firstLineChars="215"/>
        <w:jc w:val="left"/>
        <w:rPr>
          <w:color w:val="000000"/>
          <w:kern w:val="0"/>
          <w:sz w:val="24"/>
        </w:rPr>
      </w:pPr>
      <w:r>
        <w:rPr>
          <w:color w:val="000000"/>
          <w:kern w:val="0"/>
          <w:sz w:val="24"/>
        </w:rPr>
        <w:t>（1）供应商应在磋商文件规定的截止时间后使用加密响应文件时所使用的数字证书（CA）对已递交的电子响应文件进行解密。</w:t>
      </w:r>
    </w:p>
    <w:p>
      <w:pPr>
        <w:widowControl/>
        <w:snapToGrid w:val="0"/>
        <w:spacing w:line="360" w:lineRule="auto"/>
        <w:ind w:firstLine="516" w:firstLineChars="215"/>
        <w:jc w:val="left"/>
        <w:rPr>
          <w:color w:val="000000"/>
          <w:kern w:val="0"/>
          <w:sz w:val="24"/>
        </w:rPr>
      </w:pPr>
      <w:r>
        <w:rPr>
          <w:color w:val="000000"/>
          <w:kern w:val="0"/>
          <w:sz w:val="24"/>
        </w:rPr>
        <w:t>（2）因供应商原因造成响应文件未解密的，视为撤销其响应文件。</w:t>
      </w:r>
    </w:p>
    <w:p>
      <w:pPr>
        <w:widowControl/>
        <w:snapToGrid w:val="0"/>
        <w:spacing w:line="360" w:lineRule="auto"/>
        <w:ind w:firstLine="482" w:firstLineChars="200"/>
        <w:jc w:val="left"/>
        <w:rPr>
          <w:b/>
          <w:bCs/>
          <w:color w:val="000000"/>
          <w:kern w:val="0"/>
          <w:sz w:val="24"/>
        </w:rPr>
      </w:pPr>
      <w:r>
        <w:rPr>
          <w:b/>
          <w:bCs/>
          <w:color w:val="000000"/>
          <w:kern w:val="0"/>
          <w:sz w:val="24"/>
        </w:rPr>
        <w:t>14.响应文件的补充、修改和撤回</w:t>
      </w:r>
    </w:p>
    <w:p>
      <w:pPr>
        <w:widowControl/>
        <w:snapToGrid w:val="0"/>
        <w:spacing w:line="360" w:lineRule="auto"/>
        <w:ind w:firstLine="480" w:firstLineChars="200"/>
        <w:jc w:val="left"/>
        <w:rPr>
          <w:color w:val="000000"/>
          <w:kern w:val="0"/>
          <w:sz w:val="24"/>
        </w:rPr>
      </w:pPr>
      <w:r>
        <w:rPr>
          <w:color w:val="000000"/>
          <w:kern w:val="0"/>
          <w:sz w:val="24"/>
        </w:rPr>
        <w:t>14.1供应商可以在磋商截止时间前，对所上传、递交的响应文件进行补充、修改或者撤回。对电子版响应文件的补充、修改应在电子响应文件上进行，修改完成后重新上传。</w:t>
      </w:r>
    </w:p>
    <w:p>
      <w:pPr>
        <w:widowControl/>
        <w:snapToGrid w:val="0"/>
        <w:spacing w:line="360" w:lineRule="auto"/>
        <w:ind w:firstLine="480" w:firstLineChars="200"/>
        <w:jc w:val="left"/>
        <w:rPr>
          <w:color w:val="000000"/>
          <w:kern w:val="0"/>
          <w:sz w:val="24"/>
        </w:rPr>
      </w:pPr>
      <w:r>
        <w:rPr>
          <w:color w:val="000000"/>
          <w:kern w:val="0"/>
          <w:sz w:val="24"/>
        </w:rPr>
        <w:t>14.2在磋商截止时间之后，供应商不得对响应文件补充、修改和撤回。</w:t>
      </w:r>
    </w:p>
    <w:p>
      <w:pPr>
        <w:widowControl/>
        <w:snapToGrid w:val="0"/>
        <w:spacing w:line="360" w:lineRule="auto"/>
        <w:ind w:firstLine="482" w:firstLineChars="200"/>
        <w:jc w:val="left"/>
        <w:rPr>
          <w:b/>
          <w:bCs/>
          <w:color w:val="000000"/>
          <w:kern w:val="0"/>
          <w:sz w:val="24"/>
        </w:rPr>
      </w:pPr>
      <w:r>
        <w:rPr>
          <w:b/>
          <w:bCs/>
          <w:color w:val="000000"/>
          <w:kern w:val="0"/>
          <w:sz w:val="24"/>
        </w:rPr>
        <w:t>15.组建磋商小组</w:t>
      </w:r>
    </w:p>
    <w:p>
      <w:pPr>
        <w:widowControl/>
        <w:snapToGrid w:val="0"/>
        <w:spacing w:line="360" w:lineRule="auto"/>
        <w:ind w:firstLine="480" w:firstLineChars="200"/>
        <w:jc w:val="left"/>
        <w:rPr>
          <w:color w:val="000000"/>
          <w:kern w:val="0"/>
          <w:sz w:val="24"/>
        </w:rPr>
      </w:pPr>
      <w:r>
        <w:rPr>
          <w:color w:val="000000"/>
          <w:kern w:val="0"/>
          <w:sz w:val="24"/>
        </w:rPr>
        <w:t>采购代理机构根据有关法律法规和本磋商文件的规定，结合本采购项目的特点组建磋商小组，对响应文件进行评估和比较。磋商小组由三人或三人以上单数组成，其中评审专家人数不得少于磋商小组成员总数的三分之二。</w:t>
      </w:r>
    </w:p>
    <w:p>
      <w:pPr>
        <w:pStyle w:val="4"/>
        <w:snapToGrid w:val="0"/>
        <w:spacing w:before="0" w:after="0" w:line="360" w:lineRule="auto"/>
        <w:rPr>
          <w:rFonts w:ascii="Times New Roman" w:hAnsi="Times New Roman" w:eastAsia="宋体"/>
          <w:bCs/>
          <w:color w:val="000000"/>
          <w:kern w:val="0"/>
          <w:sz w:val="24"/>
        </w:rPr>
      </w:pPr>
      <w:bookmarkStart w:id="50" w:name="_Toc14348"/>
      <w:r>
        <w:rPr>
          <w:rFonts w:ascii="Times New Roman" w:hAnsi="Times New Roman" w:eastAsia="宋体"/>
          <w:bCs/>
          <w:color w:val="000000"/>
          <w:kern w:val="0"/>
          <w:sz w:val="24"/>
        </w:rPr>
        <w:t>五、磋商程序</w:t>
      </w:r>
      <w:bookmarkEnd w:id="50"/>
    </w:p>
    <w:p>
      <w:pPr>
        <w:widowControl/>
        <w:snapToGrid w:val="0"/>
        <w:spacing w:line="360" w:lineRule="auto"/>
        <w:ind w:firstLine="482" w:firstLineChars="200"/>
        <w:jc w:val="left"/>
        <w:rPr>
          <w:b/>
          <w:color w:val="000000"/>
          <w:kern w:val="0"/>
          <w:sz w:val="24"/>
        </w:rPr>
      </w:pPr>
      <w:r>
        <w:rPr>
          <w:b/>
          <w:color w:val="000000"/>
          <w:kern w:val="0"/>
          <w:sz w:val="24"/>
        </w:rPr>
        <w:t>本次磋商采取一轮磋商、二轮报价、综合评分方式进行。</w:t>
      </w:r>
    </w:p>
    <w:p>
      <w:pPr>
        <w:widowControl/>
        <w:tabs>
          <w:tab w:val="left" w:pos="720"/>
        </w:tabs>
        <w:snapToGrid w:val="0"/>
        <w:spacing w:line="360" w:lineRule="auto"/>
        <w:ind w:firstLine="480" w:firstLineChars="200"/>
        <w:jc w:val="left"/>
        <w:rPr>
          <w:color w:val="000000"/>
          <w:kern w:val="0"/>
          <w:sz w:val="24"/>
        </w:rPr>
      </w:pPr>
      <w:r>
        <w:rPr>
          <w:color w:val="000000"/>
          <w:kern w:val="0"/>
          <w:sz w:val="24"/>
        </w:rPr>
        <w:t>16.第一轮报价</w:t>
      </w:r>
    </w:p>
    <w:p>
      <w:pPr>
        <w:widowControl/>
        <w:snapToGrid w:val="0"/>
        <w:spacing w:line="360" w:lineRule="auto"/>
        <w:ind w:firstLine="480" w:firstLineChars="200"/>
        <w:jc w:val="left"/>
        <w:rPr>
          <w:color w:val="000000"/>
          <w:kern w:val="0"/>
          <w:sz w:val="24"/>
        </w:rPr>
      </w:pPr>
      <w:r>
        <w:rPr>
          <w:color w:val="000000"/>
          <w:kern w:val="0"/>
          <w:sz w:val="24"/>
        </w:rPr>
        <w:t>16.1采购代理机构按磋商文件规定的时间、地点主持磋商，采购人代表、供应商授权代表及有关工作人员参加。</w:t>
      </w:r>
    </w:p>
    <w:p>
      <w:pPr>
        <w:widowControl/>
        <w:snapToGrid w:val="0"/>
        <w:spacing w:line="360" w:lineRule="auto"/>
        <w:ind w:firstLine="480" w:firstLineChars="200"/>
        <w:jc w:val="left"/>
        <w:rPr>
          <w:color w:val="000000"/>
          <w:kern w:val="0"/>
          <w:sz w:val="24"/>
        </w:rPr>
      </w:pPr>
      <w:r>
        <w:rPr>
          <w:color w:val="000000"/>
          <w:kern w:val="0"/>
          <w:sz w:val="24"/>
        </w:rPr>
        <w:t>16.2第一轮报价前，由已经网上签到的供应商授权代表对电子版响应文件进行远程解密、开标，进行第一次报价。</w:t>
      </w:r>
    </w:p>
    <w:p>
      <w:pPr>
        <w:widowControl/>
        <w:snapToGrid w:val="0"/>
        <w:spacing w:line="360" w:lineRule="auto"/>
        <w:ind w:firstLine="480" w:firstLineChars="200"/>
        <w:jc w:val="left"/>
        <w:rPr>
          <w:color w:val="000000"/>
          <w:kern w:val="0"/>
          <w:sz w:val="24"/>
        </w:rPr>
      </w:pPr>
      <w:r>
        <w:rPr>
          <w:color w:val="000000"/>
          <w:kern w:val="0"/>
          <w:sz w:val="24"/>
        </w:rPr>
        <w:t>16.3采购代理机构在第一轮报价后要求供应商法定代表人或供应商授权代表对报价进行确认。</w:t>
      </w:r>
    </w:p>
    <w:p>
      <w:pPr>
        <w:widowControl/>
        <w:tabs>
          <w:tab w:val="left" w:pos="720"/>
        </w:tabs>
        <w:snapToGrid w:val="0"/>
        <w:spacing w:line="360" w:lineRule="auto"/>
        <w:ind w:firstLine="480" w:firstLineChars="200"/>
        <w:jc w:val="left"/>
        <w:rPr>
          <w:color w:val="000000"/>
          <w:kern w:val="0"/>
          <w:sz w:val="24"/>
        </w:rPr>
      </w:pPr>
      <w:r>
        <w:rPr>
          <w:color w:val="000000"/>
          <w:kern w:val="0"/>
          <w:sz w:val="24"/>
        </w:rPr>
        <w:t>17.响应文件的有效性、完整性和响应程度审查</w:t>
      </w:r>
    </w:p>
    <w:p>
      <w:pPr>
        <w:widowControl/>
        <w:tabs>
          <w:tab w:val="left" w:pos="540"/>
        </w:tabs>
        <w:snapToGrid w:val="0"/>
        <w:spacing w:line="360" w:lineRule="auto"/>
        <w:ind w:firstLine="480" w:firstLineChars="200"/>
        <w:jc w:val="left"/>
        <w:rPr>
          <w:color w:val="000000"/>
          <w:kern w:val="0"/>
          <w:sz w:val="24"/>
        </w:rPr>
      </w:pPr>
      <w:r>
        <w:rPr>
          <w:color w:val="000000"/>
          <w:kern w:val="0"/>
          <w:sz w:val="24"/>
        </w:rPr>
        <w:t>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widowControl/>
        <w:tabs>
          <w:tab w:val="left" w:pos="540"/>
        </w:tabs>
        <w:snapToGrid w:val="0"/>
        <w:spacing w:line="360" w:lineRule="auto"/>
        <w:ind w:firstLine="480" w:firstLineChars="200"/>
        <w:jc w:val="left"/>
        <w:rPr>
          <w:color w:val="000000"/>
          <w:kern w:val="0"/>
          <w:sz w:val="24"/>
        </w:rPr>
      </w:pPr>
      <w:r>
        <w:rPr>
          <w:color w:val="000000"/>
          <w:kern w:val="0"/>
          <w:sz w:val="24"/>
        </w:rPr>
        <w:t>供应商的澄清、说明或者更正应当由法定代表人或其授权代表签字确认。</w:t>
      </w:r>
    </w:p>
    <w:p>
      <w:pPr>
        <w:widowControl/>
        <w:snapToGrid w:val="0"/>
        <w:spacing w:line="360" w:lineRule="auto"/>
        <w:ind w:firstLine="480" w:firstLineChars="200"/>
        <w:jc w:val="left"/>
        <w:rPr>
          <w:color w:val="000000"/>
          <w:kern w:val="0"/>
          <w:sz w:val="24"/>
        </w:rPr>
      </w:pPr>
      <w:r>
        <w:rPr>
          <w:color w:val="000000"/>
          <w:kern w:val="0"/>
          <w:sz w:val="24"/>
        </w:rPr>
        <w:t>17.1资格性审查</w:t>
      </w:r>
    </w:p>
    <w:p>
      <w:pPr>
        <w:widowControl/>
        <w:snapToGrid w:val="0"/>
        <w:spacing w:line="360" w:lineRule="auto"/>
        <w:ind w:firstLine="480" w:firstLineChars="200"/>
        <w:jc w:val="left"/>
        <w:rPr>
          <w:color w:val="000000"/>
          <w:kern w:val="0"/>
          <w:sz w:val="24"/>
        </w:rPr>
      </w:pPr>
      <w:r>
        <w:rPr>
          <w:color w:val="000000"/>
          <w:kern w:val="0"/>
          <w:sz w:val="24"/>
        </w:rPr>
        <w:t>磋商工作开始后，磋商小组对各响应文件进行资格</w:t>
      </w:r>
      <w:r>
        <w:rPr>
          <w:rFonts w:hint="eastAsia"/>
          <w:color w:val="000000"/>
          <w:kern w:val="0"/>
          <w:sz w:val="24"/>
          <w:lang w:val="en-US" w:eastAsia="zh-CN"/>
        </w:rPr>
        <w:t>性</w:t>
      </w:r>
      <w:r>
        <w:rPr>
          <w:color w:val="000000"/>
          <w:kern w:val="0"/>
          <w:sz w:val="24"/>
        </w:rPr>
        <w:t>审查</w:t>
      </w:r>
      <w:r>
        <w:rPr>
          <w:rFonts w:hint="eastAsia"/>
          <w:color w:val="000000"/>
          <w:kern w:val="0"/>
          <w:sz w:val="24"/>
          <w:lang w:eastAsia="zh-CN"/>
        </w:rPr>
        <w:t>，</w:t>
      </w:r>
      <w:r>
        <w:rPr>
          <w:kern w:val="0"/>
          <w:sz w:val="24"/>
        </w:rPr>
        <w:t>内容如下：</w:t>
      </w:r>
    </w:p>
    <w:p>
      <w:pPr>
        <w:pStyle w:val="30"/>
        <w:numPr>
          <w:ilvl w:val="0"/>
          <w:numId w:val="2"/>
        </w:numPr>
        <w:ind w:left="0" w:firstLine="520" w:firstLineChars="0"/>
        <w:rPr>
          <w:sz w:val="24"/>
        </w:rPr>
      </w:pPr>
      <w:r>
        <w:rPr>
          <w:sz w:val="24"/>
        </w:rPr>
        <w:t>供应商信用承诺书；</w:t>
      </w:r>
    </w:p>
    <w:p>
      <w:pPr>
        <w:pStyle w:val="30"/>
        <w:numPr>
          <w:ilvl w:val="0"/>
          <w:numId w:val="2"/>
        </w:numPr>
        <w:ind w:left="0" w:firstLine="520" w:firstLineChars="0"/>
        <w:rPr>
          <w:sz w:val="24"/>
        </w:rPr>
      </w:pPr>
      <w:r>
        <w:rPr>
          <w:sz w:val="24"/>
        </w:rPr>
        <w:t>营业执照副本，或事业单位法人证书副本，或自然人身份证明，或其他非企业组织证明，即独立承担民事责任能力的证明文件复印件或扫描件；</w:t>
      </w:r>
    </w:p>
    <w:p>
      <w:pPr>
        <w:pStyle w:val="30"/>
        <w:numPr>
          <w:ilvl w:val="0"/>
          <w:numId w:val="2"/>
        </w:numPr>
        <w:ind w:left="0" w:firstLine="520" w:firstLineChars="0"/>
        <w:rPr>
          <w:sz w:val="24"/>
        </w:rPr>
      </w:pPr>
      <w:r>
        <w:rPr>
          <w:sz w:val="24"/>
        </w:rPr>
        <w:t>保证金电汇底单或保函复印件或扫描件；</w:t>
      </w:r>
    </w:p>
    <w:p>
      <w:pPr>
        <w:pStyle w:val="30"/>
        <w:numPr>
          <w:ilvl w:val="0"/>
          <w:numId w:val="2"/>
        </w:numPr>
        <w:ind w:left="0" w:firstLine="520" w:firstLineChars="0"/>
        <w:rPr>
          <w:sz w:val="24"/>
          <w:highlight w:val="none"/>
        </w:rPr>
      </w:pPr>
      <w:r>
        <w:rPr>
          <w:rFonts w:hint="eastAsia"/>
          <w:color w:val="000000" w:themeColor="text1"/>
          <w:kern w:val="0"/>
          <w:sz w:val="24"/>
          <w:highlight w:val="none"/>
          <w:lang w:eastAsia="zh-CN"/>
          <w14:textFill>
            <w14:solidFill>
              <w14:schemeClr w14:val="tx1"/>
            </w14:solidFill>
          </w14:textFill>
        </w:rPr>
        <w:t>具有国家认证认可监督管理委员会或省级市场监督管理部门颁发的有效的检验检测机构资质认定证书(CMA)</w:t>
      </w:r>
      <w:r>
        <w:rPr>
          <w:rFonts w:hint="eastAsia"/>
          <w:sz w:val="24"/>
          <w:highlight w:val="none"/>
          <w:lang w:val="en-US" w:eastAsia="zh-CN"/>
        </w:rPr>
        <w:t>复印件或扫描件；</w:t>
      </w:r>
    </w:p>
    <w:p>
      <w:pPr>
        <w:pStyle w:val="30"/>
        <w:numPr>
          <w:ilvl w:val="0"/>
          <w:numId w:val="2"/>
        </w:numPr>
        <w:ind w:left="0" w:firstLine="520" w:firstLineChars="0"/>
        <w:rPr>
          <w:sz w:val="24"/>
        </w:rPr>
      </w:pPr>
      <w:r>
        <w:rPr>
          <w:sz w:val="24"/>
        </w:rPr>
        <w:t>《中小企业声明函》；</w:t>
      </w:r>
    </w:p>
    <w:p>
      <w:pPr>
        <w:pStyle w:val="30"/>
        <w:numPr>
          <w:ilvl w:val="0"/>
          <w:numId w:val="2"/>
        </w:numPr>
        <w:ind w:left="0" w:firstLine="520" w:firstLineChars="0"/>
        <w:rPr>
          <w:sz w:val="24"/>
        </w:rPr>
      </w:pPr>
      <w:r>
        <w:rPr>
          <w:sz w:val="24"/>
        </w:rPr>
        <w:t>“信用中国”网站（</w:t>
      </w:r>
      <w:r>
        <w:fldChar w:fldCharType="begin"/>
      </w:r>
      <w:r>
        <w:instrText xml:space="preserve"> HYPERLINK "http://www.creditchina.gov.cn）行政处罚" </w:instrText>
      </w:r>
      <w:r>
        <w:fldChar w:fldCharType="separate"/>
      </w:r>
      <w:r>
        <w:rPr>
          <w:sz w:val="24"/>
        </w:rPr>
        <w:t>www.creditchina.gov.cn）</w:t>
      </w:r>
      <w:r>
        <w:rPr>
          <w:sz w:val="24"/>
        </w:rPr>
        <w:fldChar w:fldCharType="end"/>
      </w:r>
      <w:r>
        <w:rPr>
          <w:sz w:val="24"/>
        </w:rPr>
        <w:t>严重失信主体名单（以评审现场查询结果为准）；</w:t>
      </w:r>
    </w:p>
    <w:p>
      <w:pPr>
        <w:pStyle w:val="30"/>
        <w:numPr>
          <w:ilvl w:val="0"/>
          <w:numId w:val="2"/>
        </w:numPr>
        <w:ind w:left="0" w:firstLine="520" w:firstLineChars="0"/>
        <w:rPr>
          <w:sz w:val="24"/>
        </w:rPr>
      </w:pPr>
      <w:r>
        <w:rPr>
          <w:sz w:val="24"/>
        </w:rPr>
        <w:t>中国政府采购网（http://www.ccgp.gov.cn/cr/list）政府采购严重违法失信行为记录名单的查询记录（以评审现场查询结果为准）。</w:t>
      </w:r>
    </w:p>
    <w:p>
      <w:pPr>
        <w:widowControl/>
        <w:snapToGrid w:val="0"/>
        <w:spacing w:line="360" w:lineRule="auto"/>
        <w:ind w:firstLine="480" w:firstLineChars="200"/>
        <w:jc w:val="left"/>
        <w:rPr>
          <w:color w:val="000000"/>
          <w:kern w:val="0"/>
          <w:sz w:val="24"/>
        </w:rPr>
      </w:pPr>
    </w:p>
    <w:p>
      <w:pPr>
        <w:widowControl/>
        <w:snapToGrid w:val="0"/>
        <w:spacing w:line="360" w:lineRule="auto"/>
        <w:jc w:val="center"/>
        <w:rPr>
          <w:b/>
          <w:bCs/>
          <w:color w:val="000000"/>
          <w:kern w:val="0"/>
          <w:sz w:val="24"/>
        </w:rPr>
      </w:pPr>
      <w:r>
        <w:rPr>
          <w:b/>
          <w:bCs/>
          <w:color w:val="000000"/>
          <w:kern w:val="0"/>
          <w:sz w:val="24"/>
        </w:rPr>
        <w:t>政采云平台资格审查资料上传内容说明</w:t>
      </w:r>
    </w:p>
    <w:tbl>
      <w:tblPr>
        <w:tblStyle w:val="32"/>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128"/>
        <w:gridCol w:w="2440"/>
        <w:gridCol w:w="37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序号</w:t>
            </w:r>
          </w:p>
        </w:tc>
        <w:tc>
          <w:tcPr>
            <w:tcW w:w="1128"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类型</w:t>
            </w:r>
          </w:p>
        </w:tc>
        <w:tc>
          <w:tcPr>
            <w:tcW w:w="2440"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审查要求</w:t>
            </w:r>
          </w:p>
        </w:tc>
        <w:tc>
          <w:tcPr>
            <w:tcW w:w="376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上传内容及要求说明</w:t>
            </w:r>
          </w:p>
        </w:tc>
        <w:tc>
          <w:tcPr>
            <w:tcW w:w="1043"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1</w:t>
            </w:r>
          </w:p>
        </w:tc>
        <w:tc>
          <w:tcPr>
            <w:tcW w:w="1128"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营业执照</w:t>
            </w:r>
          </w:p>
        </w:tc>
        <w:tc>
          <w:tcPr>
            <w:tcW w:w="2440"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具有独立承担民事责任的能力</w:t>
            </w:r>
          </w:p>
        </w:tc>
        <w:tc>
          <w:tcPr>
            <w:tcW w:w="376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提供供应商信用承诺书。以上证明材料须符合要求、有效、完整。否则，响应无效。</w:t>
            </w:r>
          </w:p>
        </w:tc>
        <w:tc>
          <w:tcPr>
            <w:tcW w:w="1043" w:type="dxa"/>
            <w:vAlign w:val="center"/>
          </w:tcPr>
          <w:p>
            <w:pPr>
              <w:widowControl/>
              <w:snapToGrid w:val="0"/>
              <w:jc w:val="center"/>
              <w:rPr>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2</w:t>
            </w:r>
          </w:p>
        </w:tc>
        <w:tc>
          <w:tcPr>
            <w:tcW w:w="1128"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财务报告</w:t>
            </w:r>
          </w:p>
        </w:tc>
        <w:tc>
          <w:tcPr>
            <w:tcW w:w="2440"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具有良好的商业信誉和健全的财务会计制度</w:t>
            </w:r>
          </w:p>
        </w:tc>
        <w:tc>
          <w:tcPr>
            <w:tcW w:w="376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提供供应商信用承诺书。以上证明材料须符合要求、有效、完整。否则，响应无效。</w:t>
            </w:r>
          </w:p>
        </w:tc>
        <w:tc>
          <w:tcPr>
            <w:tcW w:w="1043" w:type="dxa"/>
            <w:vAlign w:val="center"/>
          </w:tcPr>
          <w:p>
            <w:pPr>
              <w:widowControl/>
              <w:snapToGrid w:val="0"/>
              <w:jc w:val="center"/>
              <w:rPr>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3</w:t>
            </w:r>
          </w:p>
        </w:tc>
        <w:tc>
          <w:tcPr>
            <w:tcW w:w="1128"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基本资质</w:t>
            </w:r>
          </w:p>
        </w:tc>
        <w:tc>
          <w:tcPr>
            <w:tcW w:w="2440"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具有履行合同所必需的设备和专业技术能力</w:t>
            </w:r>
          </w:p>
        </w:tc>
        <w:tc>
          <w:tcPr>
            <w:tcW w:w="376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提供供应商信用承诺书。以上证明材料须符合要求、有效、完整。否则，响应无效。</w:t>
            </w:r>
          </w:p>
        </w:tc>
        <w:tc>
          <w:tcPr>
            <w:tcW w:w="1043" w:type="dxa"/>
            <w:vAlign w:val="center"/>
          </w:tcPr>
          <w:p>
            <w:pPr>
              <w:widowControl/>
              <w:snapToGrid w:val="0"/>
              <w:jc w:val="center"/>
              <w:rPr>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4</w:t>
            </w:r>
          </w:p>
        </w:tc>
        <w:tc>
          <w:tcPr>
            <w:tcW w:w="1128"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基本资质</w:t>
            </w:r>
          </w:p>
        </w:tc>
        <w:tc>
          <w:tcPr>
            <w:tcW w:w="2440"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有依法缴纳税收和社会保障资金的良好记录</w:t>
            </w:r>
          </w:p>
        </w:tc>
        <w:tc>
          <w:tcPr>
            <w:tcW w:w="376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提供供应商信用承诺书。以上证明材料须符合要求、有效、完整。否则，响应无效。</w:t>
            </w:r>
          </w:p>
        </w:tc>
        <w:tc>
          <w:tcPr>
            <w:tcW w:w="1043" w:type="dxa"/>
            <w:vAlign w:val="center"/>
          </w:tcPr>
          <w:p>
            <w:pPr>
              <w:widowControl/>
              <w:snapToGrid w:val="0"/>
              <w:jc w:val="center"/>
              <w:rPr>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5</w:t>
            </w:r>
          </w:p>
        </w:tc>
        <w:tc>
          <w:tcPr>
            <w:tcW w:w="1128"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基本资质</w:t>
            </w:r>
          </w:p>
        </w:tc>
        <w:tc>
          <w:tcPr>
            <w:tcW w:w="2440"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参加政府采购活动前三年内，在经营活动中没有重大违法记录</w:t>
            </w:r>
          </w:p>
        </w:tc>
        <w:tc>
          <w:tcPr>
            <w:tcW w:w="376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提供供应商信用承诺书。以上证明材料须符合要求、有效、完整。否则，响应无效。</w:t>
            </w:r>
          </w:p>
        </w:tc>
        <w:tc>
          <w:tcPr>
            <w:tcW w:w="1043" w:type="dxa"/>
            <w:vAlign w:val="center"/>
          </w:tcPr>
          <w:p>
            <w:pPr>
              <w:widowControl/>
              <w:snapToGrid w:val="0"/>
              <w:jc w:val="center"/>
              <w:rPr>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snapToGrid w:val="0"/>
              <w:jc w:val="center"/>
              <w:rPr>
                <w:color w:val="000000"/>
                <w:kern w:val="0"/>
                <w:sz w:val="20"/>
                <w:szCs w:val="20"/>
              </w:rPr>
            </w:pPr>
            <w:r>
              <w:rPr>
                <w:color w:val="000000"/>
                <w:kern w:val="0"/>
                <w:sz w:val="20"/>
                <w:szCs w:val="20"/>
              </w:rPr>
              <w:t>6</w:t>
            </w:r>
          </w:p>
        </w:tc>
        <w:tc>
          <w:tcPr>
            <w:tcW w:w="1128"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基本资质</w:t>
            </w:r>
          </w:p>
        </w:tc>
        <w:tc>
          <w:tcPr>
            <w:tcW w:w="2440"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营业执照副本，或事业单位法人证书副本，或自然人身份证明，或其他非企业组织证明，即独立承担民事责任能力的证明文件</w:t>
            </w:r>
          </w:p>
        </w:tc>
        <w:tc>
          <w:tcPr>
            <w:tcW w:w="3767" w:type="dxa"/>
            <w:vAlign w:val="center"/>
          </w:tcPr>
          <w:p>
            <w:pPr>
              <w:widowControl/>
              <w:snapToGrid w:val="0"/>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提供营业执照副本，或事业单位法人证书副本，或自然人身份证明，或其他非企业组织证明，即独立承担民事责任能力的证明文件复印件或扫描件。以上证明材料须符合要求、有效、完整。否则，响应无效。</w:t>
            </w:r>
          </w:p>
        </w:tc>
        <w:tc>
          <w:tcPr>
            <w:tcW w:w="1043" w:type="dxa"/>
            <w:vAlign w:val="center"/>
          </w:tcPr>
          <w:p>
            <w:pPr>
              <w:widowControl/>
              <w:snapToGrid w:val="0"/>
              <w:jc w:val="center"/>
              <w:rPr>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snapToGrid w:val="0"/>
              <w:jc w:val="center"/>
              <w:rPr>
                <w:color w:val="000000"/>
                <w:kern w:val="0"/>
                <w:sz w:val="20"/>
                <w:szCs w:val="20"/>
              </w:rPr>
            </w:pPr>
            <w:r>
              <w:rPr>
                <w:color w:val="000000"/>
                <w:kern w:val="0"/>
                <w:sz w:val="20"/>
                <w:szCs w:val="20"/>
              </w:rPr>
              <w:t>7</w:t>
            </w:r>
          </w:p>
        </w:tc>
        <w:tc>
          <w:tcPr>
            <w:tcW w:w="1128" w:type="dxa"/>
            <w:vAlign w:val="center"/>
          </w:tcPr>
          <w:p>
            <w:pPr>
              <w:widowControl/>
              <w:snapToGrid w:val="0"/>
              <w:jc w:val="center"/>
              <w:rPr>
                <w:rFonts w:ascii="Times New Roman" w:hAnsi="Times New Roman" w:eastAsia="宋体" w:cs="Times New Roman"/>
                <w:kern w:val="2"/>
                <w:sz w:val="20"/>
                <w:szCs w:val="20"/>
                <w:lang w:val="en-US" w:eastAsia="zh-CN" w:bidi="ar-SA"/>
              </w:rPr>
            </w:pPr>
            <w:r>
              <w:rPr>
                <w:sz w:val="20"/>
                <w:szCs w:val="20"/>
              </w:rPr>
              <w:t>采购政策</w:t>
            </w:r>
          </w:p>
        </w:tc>
        <w:tc>
          <w:tcPr>
            <w:tcW w:w="2440" w:type="dxa"/>
            <w:vAlign w:val="center"/>
          </w:tcPr>
          <w:p>
            <w:pPr>
              <w:widowControl/>
              <w:snapToGrid w:val="0"/>
              <w:jc w:val="center"/>
              <w:rPr>
                <w:rFonts w:ascii="Times New Roman" w:hAnsi="Times New Roman" w:eastAsia="宋体" w:cs="Times New Roman"/>
                <w:kern w:val="0"/>
                <w:sz w:val="20"/>
                <w:szCs w:val="20"/>
                <w:lang w:val="en-US" w:eastAsia="zh-CN" w:bidi="ar"/>
              </w:rPr>
            </w:pPr>
            <w:r>
              <w:rPr>
                <w:kern w:val="0"/>
                <w:sz w:val="22"/>
                <w:szCs w:val="22"/>
              </w:rPr>
              <w:t>《中小企业声明函》</w:t>
            </w:r>
          </w:p>
        </w:tc>
        <w:tc>
          <w:tcPr>
            <w:tcW w:w="3767" w:type="dxa"/>
            <w:vAlign w:val="center"/>
          </w:tcPr>
          <w:p>
            <w:pPr>
              <w:widowControl/>
              <w:snapToGrid w:val="0"/>
              <w:jc w:val="center"/>
              <w:rPr>
                <w:rFonts w:ascii="Times New Roman" w:hAnsi="Times New Roman" w:eastAsia="宋体" w:cs="Times New Roman"/>
                <w:kern w:val="0"/>
                <w:sz w:val="20"/>
                <w:szCs w:val="20"/>
                <w:lang w:val="en-US" w:eastAsia="zh-CN" w:bidi="ar"/>
              </w:rPr>
            </w:pPr>
            <w:r>
              <w:rPr>
                <w:rFonts w:hint="eastAsia"/>
                <w:color w:val="000000" w:themeColor="text1"/>
                <w:kern w:val="0"/>
                <w:sz w:val="22"/>
                <w:szCs w:val="22"/>
                <w14:textFill>
                  <w14:solidFill>
                    <w14:schemeClr w14:val="tx1"/>
                  </w14:solidFill>
                </w14:textFill>
              </w:rPr>
              <w:t>请根据要求单独上传《中小企业声明函》。格式以采购文件要求为准。</w:t>
            </w:r>
          </w:p>
        </w:tc>
        <w:tc>
          <w:tcPr>
            <w:tcW w:w="1043" w:type="dxa"/>
            <w:vAlign w:val="center"/>
          </w:tcPr>
          <w:p>
            <w:pPr>
              <w:widowControl/>
              <w:snapToGrid w:val="0"/>
              <w:jc w:val="center"/>
              <w:rPr>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snapToGrid w:val="0"/>
              <w:jc w:val="center"/>
              <w:rPr>
                <w:color w:val="000000"/>
                <w:kern w:val="0"/>
                <w:sz w:val="20"/>
                <w:szCs w:val="20"/>
              </w:rPr>
            </w:pPr>
            <w:r>
              <w:rPr>
                <w:color w:val="000000"/>
                <w:kern w:val="0"/>
                <w:sz w:val="20"/>
                <w:szCs w:val="20"/>
              </w:rPr>
              <w:t>8</w:t>
            </w:r>
          </w:p>
        </w:tc>
        <w:tc>
          <w:tcPr>
            <w:tcW w:w="1128" w:type="dxa"/>
            <w:vAlign w:val="center"/>
          </w:tcPr>
          <w:p>
            <w:pPr>
              <w:widowControl/>
              <w:snapToGrid w:val="0"/>
              <w:jc w:val="center"/>
              <w:rPr>
                <w:rFonts w:ascii="Times New Roman" w:hAnsi="Times New Roman" w:eastAsia="宋体" w:cs="Times New Roman"/>
                <w:kern w:val="2"/>
                <w:sz w:val="20"/>
                <w:szCs w:val="20"/>
                <w:lang w:val="en-US" w:eastAsia="zh-CN" w:bidi="ar-SA"/>
              </w:rPr>
            </w:pPr>
            <w:r>
              <w:rPr>
                <w:kern w:val="0"/>
                <w:sz w:val="20"/>
                <w:szCs w:val="20"/>
                <w:lang w:bidi="ar"/>
              </w:rPr>
              <w:t>其他</w:t>
            </w:r>
          </w:p>
        </w:tc>
        <w:tc>
          <w:tcPr>
            <w:tcW w:w="2440" w:type="dxa"/>
            <w:vAlign w:val="center"/>
          </w:tcPr>
          <w:p>
            <w:pPr>
              <w:widowControl/>
              <w:snapToGrid w:val="0"/>
              <w:jc w:val="center"/>
              <w:rPr>
                <w:rFonts w:ascii="Times New Roman" w:hAnsi="Times New Roman" w:eastAsia="宋体" w:cs="Times New Roman"/>
                <w:color w:val="000000" w:themeColor="text1"/>
                <w:kern w:val="0"/>
                <w:sz w:val="22"/>
                <w:szCs w:val="22"/>
                <w:lang w:val="en-US" w:eastAsia="zh-CN" w:bidi="ar-SA"/>
                <w14:textFill>
                  <w14:solidFill>
                    <w14:schemeClr w14:val="tx1"/>
                  </w14:solidFill>
                </w14:textFill>
              </w:rPr>
            </w:pPr>
            <w:r>
              <w:rPr>
                <w:color w:val="000000" w:themeColor="text1"/>
                <w:kern w:val="0"/>
                <w:sz w:val="22"/>
                <w:szCs w:val="22"/>
                <w14:textFill>
                  <w14:solidFill>
                    <w14:schemeClr w14:val="tx1"/>
                  </w14:solidFill>
                </w14:textFill>
              </w:rPr>
              <w:t>保证金电汇底单或电子保函</w:t>
            </w:r>
          </w:p>
        </w:tc>
        <w:tc>
          <w:tcPr>
            <w:tcW w:w="3767" w:type="dxa"/>
            <w:vAlign w:val="center"/>
          </w:tcPr>
          <w:p>
            <w:pPr>
              <w:widowControl/>
              <w:snapToGrid w:val="0"/>
              <w:jc w:val="center"/>
              <w:rPr>
                <w:rFonts w:ascii="Times New Roman" w:hAnsi="Times New Roman" w:eastAsia="宋体" w:cs="Times New Roman"/>
                <w:color w:val="000000" w:themeColor="text1"/>
                <w:kern w:val="0"/>
                <w:sz w:val="22"/>
                <w:szCs w:val="22"/>
                <w:lang w:val="en-US" w:eastAsia="zh-CN" w:bidi="ar-SA"/>
                <w14:textFill>
                  <w14:solidFill>
                    <w14:schemeClr w14:val="tx1"/>
                  </w14:solidFill>
                </w14:textFill>
              </w:rPr>
            </w:pPr>
            <w:r>
              <w:rPr>
                <w:color w:val="000000" w:themeColor="text1"/>
                <w:kern w:val="0"/>
                <w:sz w:val="22"/>
                <w:szCs w:val="22"/>
                <w14:textFill>
                  <w14:solidFill>
                    <w14:schemeClr w14:val="tx1"/>
                  </w14:solidFill>
                </w14:textFill>
              </w:rPr>
              <w:t>提供保证金电汇底单或电子保函复印件或扫描件。以上证明材料须符合要求、有效、完整。否则，响应无效。</w:t>
            </w:r>
          </w:p>
        </w:tc>
        <w:tc>
          <w:tcPr>
            <w:tcW w:w="1043" w:type="dxa"/>
            <w:vAlign w:val="center"/>
          </w:tcPr>
          <w:p>
            <w:pPr>
              <w:widowControl/>
              <w:snapToGrid w:val="0"/>
              <w:jc w:val="center"/>
              <w:rPr>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7" w:type="dxa"/>
            <w:vAlign w:val="center"/>
          </w:tcPr>
          <w:p>
            <w:pPr>
              <w:snapToGrid w:val="0"/>
              <w:jc w:val="center"/>
              <w:rPr>
                <w:rFonts w:hint="eastAsia" w:eastAsia="宋体"/>
                <w:color w:val="000000"/>
                <w:kern w:val="0"/>
                <w:sz w:val="20"/>
                <w:szCs w:val="20"/>
                <w:highlight w:val="none"/>
                <w:lang w:val="en-US" w:eastAsia="zh-CN"/>
              </w:rPr>
            </w:pPr>
            <w:r>
              <w:rPr>
                <w:rFonts w:hint="eastAsia"/>
                <w:color w:val="000000"/>
                <w:kern w:val="0"/>
                <w:sz w:val="20"/>
                <w:szCs w:val="20"/>
                <w:highlight w:val="none"/>
                <w:lang w:val="en-US" w:eastAsia="zh-CN"/>
              </w:rPr>
              <w:t>9</w:t>
            </w:r>
          </w:p>
        </w:tc>
        <w:tc>
          <w:tcPr>
            <w:tcW w:w="1128" w:type="dxa"/>
            <w:vAlign w:val="center"/>
          </w:tcPr>
          <w:p>
            <w:pPr>
              <w:widowControl/>
              <w:snapToGrid w:val="0"/>
              <w:jc w:val="center"/>
              <w:rPr>
                <w:kern w:val="0"/>
                <w:sz w:val="20"/>
                <w:szCs w:val="20"/>
                <w:highlight w:val="none"/>
                <w:lang w:bidi="ar"/>
              </w:rPr>
            </w:pPr>
            <w:r>
              <w:rPr>
                <w:rFonts w:hint="default" w:ascii="Times New Roman" w:hAnsi="Times New Roman" w:cs="Times New Roman"/>
                <w:kern w:val="0"/>
                <w:szCs w:val="21"/>
                <w:highlight w:val="none"/>
                <w:lang w:bidi="ar"/>
              </w:rPr>
              <w:t>特定资质</w:t>
            </w:r>
          </w:p>
        </w:tc>
        <w:tc>
          <w:tcPr>
            <w:tcW w:w="2440" w:type="dxa"/>
            <w:vAlign w:val="center"/>
          </w:tcPr>
          <w:p>
            <w:pPr>
              <w:widowControl/>
              <w:snapToGrid w:val="0"/>
              <w:jc w:val="center"/>
              <w:rPr>
                <w:rFonts w:hint="eastAsia" w:eastAsia="宋体"/>
                <w:color w:val="000000" w:themeColor="text1"/>
                <w:kern w:val="0"/>
                <w:sz w:val="22"/>
                <w:szCs w:val="22"/>
                <w:highlight w:val="none"/>
                <w:lang w:eastAsia="zh-CN"/>
                <w14:textFill>
                  <w14:solidFill>
                    <w14:schemeClr w14:val="tx1"/>
                  </w14:solidFill>
                </w14:textFill>
              </w:rPr>
            </w:pPr>
            <w:r>
              <w:rPr>
                <w:rFonts w:hint="eastAsia" w:cs="Times New Roman"/>
                <w:kern w:val="0"/>
                <w:szCs w:val="21"/>
                <w:highlight w:val="none"/>
                <w:lang w:eastAsia="zh-CN" w:bidi="ar"/>
              </w:rPr>
              <w:t>具有国家认证认可监督管理委员会或省级市场监督管理部门颁发的有效的检验检测机构资质认定证书(CMA)</w:t>
            </w:r>
          </w:p>
        </w:tc>
        <w:tc>
          <w:tcPr>
            <w:tcW w:w="3767" w:type="dxa"/>
            <w:vAlign w:val="center"/>
          </w:tcPr>
          <w:p>
            <w:pPr>
              <w:widowControl/>
              <w:snapToGrid w:val="0"/>
              <w:jc w:val="center"/>
              <w:rPr>
                <w:color w:val="000000" w:themeColor="text1"/>
                <w:kern w:val="0"/>
                <w:sz w:val="22"/>
                <w:szCs w:val="22"/>
                <w:highlight w:val="none"/>
                <w14:textFill>
                  <w14:solidFill>
                    <w14:schemeClr w14:val="tx1"/>
                  </w14:solidFill>
                </w14:textFill>
              </w:rPr>
            </w:pPr>
            <w:r>
              <w:rPr>
                <w:rFonts w:hint="default" w:ascii="Times New Roman" w:hAnsi="Times New Roman" w:cs="Times New Roman"/>
                <w:kern w:val="0"/>
                <w:szCs w:val="21"/>
                <w:highlight w:val="none"/>
                <w:lang w:bidi="ar"/>
              </w:rPr>
              <w:t>提供检验检测机构资质认定证书扫描件，并附检验检测能力范围。</w:t>
            </w:r>
          </w:p>
        </w:tc>
        <w:tc>
          <w:tcPr>
            <w:tcW w:w="1043" w:type="dxa"/>
            <w:vAlign w:val="center"/>
          </w:tcPr>
          <w:p>
            <w:pPr>
              <w:widowControl/>
              <w:snapToGrid w:val="0"/>
              <w:jc w:val="center"/>
              <w:rPr>
                <w:kern w:val="0"/>
                <w:sz w:val="20"/>
                <w:szCs w:val="20"/>
                <w:highlight w:val="none"/>
                <w:lang w:bidi="ar"/>
              </w:rPr>
            </w:pPr>
          </w:p>
        </w:tc>
      </w:tr>
    </w:tbl>
    <w:p>
      <w:pPr>
        <w:pStyle w:val="30"/>
        <w:ind w:firstLine="480"/>
        <w:rPr>
          <w:color w:val="000000"/>
          <w:sz w:val="24"/>
        </w:rPr>
      </w:pPr>
    </w:p>
    <w:p>
      <w:pPr>
        <w:widowControl/>
        <w:snapToGrid w:val="0"/>
        <w:spacing w:line="360" w:lineRule="auto"/>
        <w:ind w:firstLine="480" w:firstLineChars="200"/>
        <w:jc w:val="left"/>
        <w:rPr>
          <w:color w:val="000000"/>
          <w:kern w:val="0"/>
          <w:sz w:val="24"/>
        </w:rPr>
      </w:pPr>
      <w:r>
        <w:rPr>
          <w:color w:val="000000"/>
          <w:kern w:val="0"/>
          <w:sz w:val="24"/>
        </w:rPr>
        <w:t>17.2符合性审查</w:t>
      </w:r>
    </w:p>
    <w:p>
      <w:pPr>
        <w:widowControl/>
        <w:snapToGrid w:val="0"/>
        <w:spacing w:line="360" w:lineRule="auto"/>
        <w:ind w:firstLine="480" w:firstLineChars="200"/>
        <w:jc w:val="left"/>
        <w:rPr>
          <w:kern w:val="0"/>
          <w:sz w:val="24"/>
        </w:rPr>
      </w:pPr>
      <w:r>
        <w:rPr>
          <w:kern w:val="0"/>
          <w:sz w:val="24"/>
        </w:rPr>
        <w:t>磋商小组对通过资格性审查的供应商响应文件进行符合性审查</w:t>
      </w:r>
      <w:r>
        <w:rPr>
          <w:rFonts w:hint="eastAsia"/>
          <w:kern w:val="0"/>
          <w:sz w:val="24"/>
          <w:lang w:eastAsia="zh-CN"/>
        </w:rPr>
        <w:t>，</w:t>
      </w:r>
      <w:r>
        <w:rPr>
          <w:kern w:val="0"/>
          <w:sz w:val="24"/>
        </w:rPr>
        <w:t>内容如下：</w:t>
      </w:r>
    </w:p>
    <w:p>
      <w:pPr>
        <w:pStyle w:val="30"/>
        <w:numPr>
          <w:ilvl w:val="0"/>
          <w:numId w:val="3"/>
        </w:numPr>
        <w:ind w:left="0" w:firstLine="520" w:firstLineChars="0"/>
        <w:rPr>
          <w:sz w:val="24"/>
        </w:rPr>
      </w:pPr>
      <w:r>
        <w:rPr>
          <w:sz w:val="24"/>
        </w:rPr>
        <w:t>“报价函”格式；</w:t>
      </w:r>
    </w:p>
    <w:p>
      <w:pPr>
        <w:pStyle w:val="30"/>
        <w:numPr>
          <w:ilvl w:val="0"/>
          <w:numId w:val="3"/>
        </w:numPr>
        <w:ind w:left="0" w:firstLine="520" w:firstLineChars="0"/>
        <w:rPr>
          <w:sz w:val="24"/>
        </w:rPr>
      </w:pPr>
      <w:r>
        <w:rPr>
          <w:sz w:val="24"/>
        </w:rPr>
        <w:t>“法定代表人身份证明书”格式；</w:t>
      </w:r>
    </w:p>
    <w:p>
      <w:pPr>
        <w:pStyle w:val="30"/>
        <w:numPr>
          <w:ilvl w:val="0"/>
          <w:numId w:val="3"/>
        </w:numPr>
        <w:ind w:left="0" w:firstLine="520" w:firstLineChars="0"/>
        <w:rPr>
          <w:sz w:val="24"/>
        </w:rPr>
      </w:pPr>
      <w:r>
        <w:rPr>
          <w:sz w:val="24"/>
        </w:rPr>
        <w:t>“法人授权委托书”格式；</w:t>
      </w:r>
    </w:p>
    <w:p>
      <w:pPr>
        <w:pStyle w:val="30"/>
        <w:numPr>
          <w:ilvl w:val="0"/>
          <w:numId w:val="3"/>
        </w:numPr>
        <w:ind w:left="0" w:firstLine="520" w:firstLineChars="0"/>
        <w:rPr>
          <w:sz w:val="24"/>
        </w:rPr>
      </w:pPr>
      <w:r>
        <w:rPr>
          <w:rFonts w:hint="eastAsia"/>
          <w:color w:val="000000"/>
          <w:kern w:val="0"/>
          <w:szCs w:val="21"/>
        </w:rPr>
        <w:t>“</w:t>
      </w:r>
      <w:r>
        <w:rPr>
          <w:color w:val="000000"/>
          <w:kern w:val="0"/>
          <w:szCs w:val="21"/>
        </w:rPr>
        <w:t>报价一览表</w:t>
      </w:r>
      <w:r>
        <w:rPr>
          <w:rFonts w:hint="eastAsia"/>
          <w:color w:val="000000"/>
          <w:kern w:val="0"/>
          <w:szCs w:val="21"/>
        </w:rPr>
        <w:t>”</w:t>
      </w:r>
      <w:r>
        <w:rPr>
          <w:rFonts w:hint="eastAsia"/>
          <w:color w:val="000000"/>
          <w:kern w:val="0"/>
          <w:szCs w:val="21"/>
          <w:lang w:val="en-US" w:eastAsia="zh-CN"/>
        </w:rPr>
        <w:t>格式；</w:t>
      </w:r>
    </w:p>
    <w:p>
      <w:pPr>
        <w:pStyle w:val="30"/>
        <w:numPr>
          <w:ilvl w:val="0"/>
          <w:numId w:val="3"/>
        </w:numPr>
        <w:ind w:left="0" w:firstLine="520" w:firstLineChars="0"/>
        <w:rPr>
          <w:sz w:val="24"/>
        </w:rPr>
      </w:pPr>
      <w:r>
        <w:rPr>
          <w:sz w:val="24"/>
        </w:rPr>
        <w:t>是否符合磋商文件中规定的其他实质性要求。</w:t>
      </w:r>
    </w:p>
    <w:p>
      <w:pPr>
        <w:pStyle w:val="30"/>
        <w:ind w:firstLine="0" w:firstLineChars="0"/>
        <w:jc w:val="center"/>
        <w:rPr>
          <w:b/>
          <w:bCs/>
          <w:color w:val="000000"/>
          <w:sz w:val="24"/>
        </w:rPr>
      </w:pPr>
    </w:p>
    <w:p>
      <w:pPr>
        <w:pStyle w:val="30"/>
        <w:ind w:firstLine="0" w:firstLineChars="0"/>
        <w:jc w:val="center"/>
        <w:rPr>
          <w:b/>
          <w:bCs/>
          <w:color w:val="000000"/>
          <w:sz w:val="24"/>
        </w:rPr>
      </w:pPr>
    </w:p>
    <w:p>
      <w:pPr>
        <w:pStyle w:val="30"/>
        <w:ind w:firstLine="0" w:firstLineChars="0"/>
        <w:jc w:val="center"/>
        <w:rPr>
          <w:b/>
          <w:bCs/>
          <w:color w:val="000000"/>
          <w:sz w:val="24"/>
        </w:rPr>
      </w:pPr>
    </w:p>
    <w:p>
      <w:pPr>
        <w:pStyle w:val="30"/>
        <w:ind w:firstLine="0" w:firstLineChars="0"/>
        <w:jc w:val="center"/>
        <w:rPr>
          <w:b/>
          <w:bCs/>
          <w:color w:val="000000"/>
          <w:sz w:val="24"/>
        </w:rPr>
      </w:pPr>
    </w:p>
    <w:p>
      <w:pPr>
        <w:pStyle w:val="30"/>
        <w:ind w:firstLine="0" w:firstLineChars="0"/>
        <w:jc w:val="center"/>
      </w:pPr>
      <w:r>
        <w:rPr>
          <w:b/>
          <w:bCs/>
          <w:color w:val="000000"/>
          <w:sz w:val="24"/>
        </w:rPr>
        <w:t>政采云平台符合性审查资料上传内容说明</w:t>
      </w:r>
    </w:p>
    <w:tbl>
      <w:tblPr>
        <w:tblStyle w:val="32"/>
        <w:tblW w:w="8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955"/>
        <w:gridCol w:w="2440"/>
        <w:gridCol w:w="220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0" w:type="dxa"/>
            <w:vAlign w:val="center"/>
          </w:tcPr>
          <w:p>
            <w:pPr>
              <w:snapToGrid w:val="0"/>
              <w:jc w:val="center"/>
              <w:rPr>
                <w:color w:val="000000"/>
                <w:kern w:val="0"/>
                <w:szCs w:val="21"/>
              </w:rPr>
            </w:pPr>
            <w:r>
              <w:rPr>
                <w:color w:val="000000"/>
                <w:kern w:val="0"/>
                <w:szCs w:val="21"/>
              </w:rPr>
              <w:t>序号</w:t>
            </w:r>
          </w:p>
        </w:tc>
        <w:tc>
          <w:tcPr>
            <w:tcW w:w="955" w:type="dxa"/>
            <w:vAlign w:val="center"/>
          </w:tcPr>
          <w:p>
            <w:pPr>
              <w:snapToGrid w:val="0"/>
              <w:jc w:val="center"/>
              <w:rPr>
                <w:color w:val="000000"/>
                <w:kern w:val="0"/>
                <w:szCs w:val="21"/>
              </w:rPr>
            </w:pPr>
            <w:r>
              <w:rPr>
                <w:color w:val="000000"/>
                <w:kern w:val="0"/>
                <w:szCs w:val="21"/>
              </w:rPr>
              <w:t>类型</w:t>
            </w:r>
          </w:p>
        </w:tc>
        <w:tc>
          <w:tcPr>
            <w:tcW w:w="2440" w:type="dxa"/>
            <w:vAlign w:val="center"/>
          </w:tcPr>
          <w:p>
            <w:pPr>
              <w:snapToGrid w:val="0"/>
              <w:jc w:val="center"/>
              <w:rPr>
                <w:color w:val="000000"/>
                <w:kern w:val="0"/>
                <w:szCs w:val="21"/>
              </w:rPr>
            </w:pPr>
            <w:r>
              <w:rPr>
                <w:color w:val="000000"/>
                <w:kern w:val="0"/>
                <w:szCs w:val="21"/>
              </w:rPr>
              <w:t>审查要求</w:t>
            </w:r>
          </w:p>
        </w:tc>
        <w:tc>
          <w:tcPr>
            <w:tcW w:w="2208" w:type="dxa"/>
            <w:vAlign w:val="center"/>
          </w:tcPr>
          <w:p>
            <w:pPr>
              <w:snapToGrid w:val="0"/>
              <w:jc w:val="center"/>
              <w:rPr>
                <w:color w:val="000000"/>
                <w:kern w:val="0"/>
                <w:szCs w:val="21"/>
              </w:rPr>
            </w:pPr>
            <w:r>
              <w:rPr>
                <w:color w:val="000000"/>
                <w:kern w:val="0"/>
                <w:szCs w:val="21"/>
              </w:rPr>
              <w:t>上传内容</w:t>
            </w:r>
          </w:p>
        </w:tc>
        <w:tc>
          <w:tcPr>
            <w:tcW w:w="2030" w:type="dxa"/>
            <w:vAlign w:val="center"/>
          </w:tcPr>
          <w:p>
            <w:pPr>
              <w:snapToGrid w:val="0"/>
              <w:jc w:val="center"/>
              <w:rPr>
                <w:color w:val="000000"/>
                <w:kern w:val="0"/>
                <w:szCs w:val="21"/>
              </w:rPr>
            </w:pPr>
            <w:r>
              <w:rPr>
                <w:color w:val="000000"/>
                <w:kern w:val="0"/>
                <w:szCs w:val="21"/>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0" w:type="dxa"/>
            <w:vAlign w:val="center"/>
          </w:tcPr>
          <w:p>
            <w:pPr>
              <w:snapToGrid w:val="0"/>
              <w:jc w:val="center"/>
              <w:rPr>
                <w:color w:val="000000"/>
                <w:kern w:val="0"/>
                <w:szCs w:val="21"/>
              </w:rPr>
            </w:pPr>
            <w:r>
              <w:rPr>
                <w:color w:val="000000"/>
                <w:kern w:val="0"/>
                <w:szCs w:val="21"/>
              </w:rPr>
              <w:t>1</w:t>
            </w:r>
          </w:p>
        </w:tc>
        <w:tc>
          <w:tcPr>
            <w:tcW w:w="955" w:type="dxa"/>
            <w:vAlign w:val="center"/>
          </w:tcPr>
          <w:p>
            <w:pPr>
              <w:widowControl/>
              <w:snapToGrid w:val="0"/>
              <w:jc w:val="center"/>
              <w:rPr>
                <w:szCs w:val="21"/>
              </w:rPr>
            </w:pPr>
            <w:r>
              <w:rPr>
                <w:color w:val="000000"/>
                <w:kern w:val="0"/>
                <w:szCs w:val="21"/>
              </w:rPr>
              <w:t>商务</w:t>
            </w:r>
          </w:p>
        </w:tc>
        <w:tc>
          <w:tcPr>
            <w:tcW w:w="2440" w:type="dxa"/>
            <w:vAlign w:val="center"/>
          </w:tcPr>
          <w:p>
            <w:pPr>
              <w:widowControl/>
              <w:snapToGrid w:val="0"/>
              <w:jc w:val="center"/>
              <w:rPr>
                <w:color w:val="000000"/>
                <w:kern w:val="0"/>
                <w:szCs w:val="21"/>
              </w:rPr>
            </w:pPr>
            <w:r>
              <w:rPr>
                <w:color w:val="000000"/>
                <w:kern w:val="0"/>
                <w:szCs w:val="21"/>
              </w:rPr>
              <w:t>“报价函”格式</w:t>
            </w:r>
          </w:p>
        </w:tc>
        <w:tc>
          <w:tcPr>
            <w:tcW w:w="2208" w:type="dxa"/>
            <w:vAlign w:val="center"/>
          </w:tcPr>
          <w:p>
            <w:pPr>
              <w:widowControl/>
              <w:snapToGrid w:val="0"/>
              <w:jc w:val="center"/>
              <w:rPr>
                <w:kern w:val="0"/>
                <w:szCs w:val="21"/>
                <w:lang w:bidi="ar"/>
              </w:rPr>
            </w:pPr>
            <w:r>
              <w:rPr>
                <w:kern w:val="0"/>
                <w:szCs w:val="21"/>
              </w:rPr>
              <w:t>“报价函”</w:t>
            </w:r>
          </w:p>
        </w:tc>
        <w:tc>
          <w:tcPr>
            <w:tcW w:w="2030" w:type="dxa"/>
            <w:vAlign w:val="center"/>
          </w:tcPr>
          <w:p>
            <w:pPr>
              <w:snapToGrid w:val="0"/>
              <w:jc w:val="center"/>
              <w:rPr>
                <w:color w:val="000000"/>
                <w:kern w:val="0"/>
                <w:szCs w:val="21"/>
              </w:rPr>
            </w:pPr>
            <w:r>
              <w:rPr>
                <w:color w:val="000000"/>
                <w:kern w:val="0"/>
                <w:szCs w:val="21"/>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0" w:type="dxa"/>
            <w:vAlign w:val="center"/>
          </w:tcPr>
          <w:p>
            <w:pPr>
              <w:snapToGrid w:val="0"/>
              <w:jc w:val="center"/>
              <w:rPr>
                <w:color w:val="000000"/>
                <w:kern w:val="0"/>
                <w:szCs w:val="21"/>
              </w:rPr>
            </w:pPr>
            <w:r>
              <w:rPr>
                <w:color w:val="000000"/>
                <w:kern w:val="0"/>
                <w:szCs w:val="21"/>
              </w:rPr>
              <w:t>2</w:t>
            </w:r>
          </w:p>
        </w:tc>
        <w:tc>
          <w:tcPr>
            <w:tcW w:w="955" w:type="dxa"/>
            <w:vAlign w:val="center"/>
          </w:tcPr>
          <w:p>
            <w:pPr>
              <w:widowControl/>
              <w:snapToGrid w:val="0"/>
              <w:jc w:val="center"/>
              <w:rPr>
                <w:szCs w:val="21"/>
              </w:rPr>
            </w:pPr>
            <w:r>
              <w:rPr>
                <w:color w:val="000000"/>
                <w:kern w:val="0"/>
                <w:szCs w:val="21"/>
              </w:rPr>
              <w:t>商务</w:t>
            </w:r>
          </w:p>
        </w:tc>
        <w:tc>
          <w:tcPr>
            <w:tcW w:w="2440" w:type="dxa"/>
            <w:vAlign w:val="center"/>
          </w:tcPr>
          <w:p>
            <w:pPr>
              <w:widowControl/>
              <w:snapToGrid w:val="0"/>
              <w:jc w:val="center"/>
              <w:rPr>
                <w:color w:val="000000"/>
                <w:kern w:val="0"/>
                <w:szCs w:val="21"/>
              </w:rPr>
            </w:pPr>
            <w:r>
              <w:rPr>
                <w:rFonts w:hint="eastAsia"/>
                <w:color w:val="000000"/>
                <w:kern w:val="0"/>
                <w:szCs w:val="21"/>
              </w:rPr>
              <w:t>“</w:t>
            </w:r>
            <w:r>
              <w:rPr>
                <w:color w:val="000000"/>
                <w:kern w:val="0"/>
                <w:szCs w:val="21"/>
              </w:rPr>
              <w:t>法定代表人身份证明书</w:t>
            </w:r>
            <w:r>
              <w:rPr>
                <w:rFonts w:hint="eastAsia"/>
                <w:color w:val="000000"/>
                <w:kern w:val="0"/>
                <w:szCs w:val="21"/>
              </w:rPr>
              <w:t>”</w:t>
            </w:r>
            <w:r>
              <w:rPr>
                <w:color w:val="000000"/>
                <w:kern w:val="0"/>
                <w:szCs w:val="21"/>
              </w:rPr>
              <w:t>格式</w:t>
            </w:r>
          </w:p>
        </w:tc>
        <w:tc>
          <w:tcPr>
            <w:tcW w:w="2208" w:type="dxa"/>
            <w:vAlign w:val="center"/>
          </w:tcPr>
          <w:p>
            <w:pPr>
              <w:widowControl/>
              <w:snapToGrid w:val="0"/>
              <w:jc w:val="center"/>
              <w:rPr>
                <w:kern w:val="0"/>
                <w:szCs w:val="21"/>
                <w:lang w:bidi="ar"/>
              </w:rPr>
            </w:pPr>
            <w:r>
              <w:rPr>
                <w:kern w:val="0"/>
                <w:szCs w:val="21"/>
              </w:rPr>
              <w:t>“法定代表人身份证明书”</w:t>
            </w:r>
          </w:p>
        </w:tc>
        <w:tc>
          <w:tcPr>
            <w:tcW w:w="2030" w:type="dxa"/>
            <w:vAlign w:val="center"/>
          </w:tcPr>
          <w:p>
            <w:pPr>
              <w:snapToGrid w:val="0"/>
              <w:jc w:val="center"/>
              <w:rPr>
                <w:color w:val="000000"/>
                <w:kern w:val="0"/>
                <w:szCs w:val="21"/>
              </w:rPr>
            </w:pPr>
            <w:r>
              <w:rPr>
                <w:color w:val="000000"/>
                <w:kern w:val="0"/>
                <w:szCs w:val="21"/>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0" w:type="dxa"/>
            <w:vAlign w:val="center"/>
          </w:tcPr>
          <w:p>
            <w:pPr>
              <w:snapToGrid w:val="0"/>
              <w:jc w:val="center"/>
              <w:rPr>
                <w:color w:val="000000"/>
                <w:kern w:val="0"/>
                <w:szCs w:val="21"/>
              </w:rPr>
            </w:pPr>
            <w:r>
              <w:rPr>
                <w:color w:val="000000"/>
                <w:kern w:val="0"/>
                <w:szCs w:val="21"/>
              </w:rPr>
              <w:t>3</w:t>
            </w:r>
          </w:p>
        </w:tc>
        <w:tc>
          <w:tcPr>
            <w:tcW w:w="955" w:type="dxa"/>
            <w:vAlign w:val="center"/>
          </w:tcPr>
          <w:p>
            <w:pPr>
              <w:widowControl/>
              <w:snapToGrid w:val="0"/>
              <w:jc w:val="center"/>
              <w:rPr>
                <w:szCs w:val="21"/>
              </w:rPr>
            </w:pPr>
            <w:r>
              <w:rPr>
                <w:color w:val="000000"/>
                <w:kern w:val="0"/>
                <w:szCs w:val="21"/>
              </w:rPr>
              <w:t>商务</w:t>
            </w:r>
          </w:p>
        </w:tc>
        <w:tc>
          <w:tcPr>
            <w:tcW w:w="2440" w:type="dxa"/>
            <w:vAlign w:val="center"/>
          </w:tcPr>
          <w:p>
            <w:pPr>
              <w:widowControl/>
              <w:snapToGrid w:val="0"/>
              <w:jc w:val="center"/>
              <w:rPr>
                <w:color w:val="000000"/>
                <w:kern w:val="0"/>
                <w:szCs w:val="21"/>
              </w:rPr>
            </w:pPr>
            <w:r>
              <w:rPr>
                <w:color w:val="000000"/>
                <w:kern w:val="0"/>
                <w:szCs w:val="21"/>
              </w:rPr>
              <w:t>“法人授权委托书”格式</w:t>
            </w:r>
          </w:p>
        </w:tc>
        <w:tc>
          <w:tcPr>
            <w:tcW w:w="2208" w:type="dxa"/>
            <w:vAlign w:val="center"/>
          </w:tcPr>
          <w:p>
            <w:pPr>
              <w:widowControl/>
              <w:snapToGrid w:val="0"/>
              <w:jc w:val="center"/>
              <w:rPr>
                <w:kern w:val="0"/>
                <w:szCs w:val="21"/>
                <w:lang w:bidi="ar"/>
              </w:rPr>
            </w:pPr>
            <w:r>
              <w:rPr>
                <w:kern w:val="0"/>
                <w:szCs w:val="21"/>
              </w:rPr>
              <w:t>“法人授权委托书”</w:t>
            </w:r>
          </w:p>
        </w:tc>
        <w:tc>
          <w:tcPr>
            <w:tcW w:w="2030" w:type="dxa"/>
            <w:vAlign w:val="center"/>
          </w:tcPr>
          <w:p>
            <w:pPr>
              <w:snapToGrid w:val="0"/>
              <w:jc w:val="center"/>
              <w:rPr>
                <w:color w:val="000000"/>
                <w:kern w:val="0"/>
                <w:szCs w:val="21"/>
              </w:rPr>
            </w:pPr>
            <w:r>
              <w:rPr>
                <w:color w:val="000000"/>
                <w:kern w:val="0"/>
                <w:szCs w:val="21"/>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0" w:type="dxa"/>
            <w:vAlign w:val="center"/>
          </w:tcPr>
          <w:p>
            <w:pPr>
              <w:snapToGrid w:val="0"/>
              <w:jc w:val="center"/>
              <w:rPr>
                <w:color w:val="000000"/>
                <w:kern w:val="0"/>
                <w:szCs w:val="21"/>
              </w:rPr>
            </w:pPr>
            <w:r>
              <w:rPr>
                <w:rFonts w:hint="eastAsia"/>
                <w:color w:val="000000"/>
                <w:kern w:val="0"/>
                <w:szCs w:val="21"/>
              </w:rPr>
              <w:t>4</w:t>
            </w:r>
          </w:p>
        </w:tc>
        <w:tc>
          <w:tcPr>
            <w:tcW w:w="955" w:type="dxa"/>
            <w:vAlign w:val="center"/>
          </w:tcPr>
          <w:p>
            <w:pPr>
              <w:widowControl/>
              <w:snapToGrid w:val="0"/>
              <w:jc w:val="center"/>
              <w:rPr>
                <w:color w:val="000000"/>
                <w:kern w:val="0"/>
                <w:szCs w:val="21"/>
              </w:rPr>
            </w:pPr>
            <w:r>
              <w:rPr>
                <w:rFonts w:hint="eastAsia"/>
                <w:color w:val="000000"/>
                <w:kern w:val="0"/>
                <w:szCs w:val="21"/>
              </w:rPr>
              <w:t>报价</w:t>
            </w:r>
          </w:p>
        </w:tc>
        <w:tc>
          <w:tcPr>
            <w:tcW w:w="2440" w:type="dxa"/>
            <w:vAlign w:val="center"/>
          </w:tcPr>
          <w:p>
            <w:pPr>
              <w:widowControl/>
              <w:snapToGrid w:val="0"/>
              <w:jc w:val="center"/>
              <w:rPr>
                <w:rFonts w:hint="eastAsia" w:eastAsia="宋体"/>
                <w:color w:val="000000"/>
                <w:kern w:val="0"/>
                <w:szCs w:val="21"/>
                <w:lang w:eastAsia="zh-CN"/>
              </w:rPr>
            </w:pPr>
            <w:r>
              <w:rPr>
                <w:rFonts w:hint="eastAsia"/>
                <w:color w:val="000000"/>
                <w:kern w:val="0"/>
                <w:szCs w:val="21"/>
              </w:rPr>
              <w:t>“</w:t>
            </w:r>
            <w:r>
              <w:rPr>
                <w:color w:val="000000"/>
                <w:kern w:val="0"/>
                <w:szCs w:val="21"/>
              </w:rPr>
              <w:t>报价一览表</w:t>
            </w:r>
            <w:r>
              <w:rPr>
                <w:rFonts w:hint="eastAsia"/>
                <w:color w:val="000000"/>
                <w:kern w:val="0"/>
                <w:szCs w:val="21"/>
              </w:rPr>
              <w:t>”</w:t>
            </w:r>
            <w:r>
              <w:rPr>
                <w:rFonts w:hint="eastAsia"/>
                <w:color w:val="000000"/>
                <w:kern w:val="0"/>
                <w:szCs w:val="21"/>
                <w:lang w:val="en-US" w:eastAsia="zh-CN"/>
              </w:rPr>
              <w:t>格式</w:t>
            </w:r>
          </w:p>
        </w:tc>
        <w:tc>
          <w:tcPr>
            <w:tcW w:w="2208" w:type="dxa"/>
            <w:vAlign w:val="center"/>
          </w:tcPr>
          <w:p>
            <w:pPr>
              <w:widowControl/>
              <w:snapToGrid w:val="0"/>
              <w:jc w:val="center"/>
              <w:rPr>
                <w:color w:val="000000"/>
                <w:kern w:val="0"/>
                <w:szCs w:val="21"/>
              </w:rPr>
            </w:pPr>
            <w:r>
              <w:rPr>
                <w:rFonts w:hint="eastAsia"/>
                <w:color w:val="000000"/>
                <w:kern w:val="0"/>
                <w:szCs w:val="21"/>
              </w:rPr>
              <w:t>“</w:t>
            </w:r>
            <w:r>
              <w:rPr>
                <w:color w:val="000000"/>
                <w:kern w:val="0"/>
                <w:szCs w:val="21"/>
              </w:rPr>
              <w:t>报价一览表</w:t>
            </w:r>
            <w:r>
              <w:rPr>
                <w:rFonts w:hint="eastAsia"/>
                <w:color w:val="000000"/>
                <w:kern w:val="0"/>
                <w:szCs w:val="21"/>
              </w:rPr>
              <w:t>”</w:t>
            </w:r>
          </w:p>
        </w:tc>
        <w:tc>
          <w:tcPr>
            <w:tcW w:w="2030" w:type="dxa"/>
            <w:vAlign w:val="center"/>
          </w:tcPr>
          <w:p>
            <w:pPr>
              <w:widowControl/>
              <w:snapToGrid w:val="0"/>
              <w:jc w:val="center"/>
              <w:rPr>
                <w:color w:val="000000"/>
                <w:kern w:val="0"/>
                <w:szCs w:val="21"/>
              </w:rPr>
            </w:pPr>
            <w:r>
              <w:rPr>
                <w:color w:val="000000"/>
                <w:kern w:val="0"/>
                <w:szCs w:val="21"/>
              </w:rPr>
              <w:t>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70" w:type="dxa"/>
            <w:vAlign w:val="center"/>
          </w:tcPr>
          <w:p>
            <w:pPr>
              <w:snapToGrid w:val="0"/>
              <w:jc w:val="center"/>
              <w:rPr>
                <w:color w:val="000000"/>
                <w:kern w:val="0"/>
                <w:szCs w:val="21"/>
              </w:rPr>
            </w:pPr>
            <w:r>
              <w:rPr>
                <w:rFonts w:hint="eastAsia"/>
                <w:color w:val="000000"/>
                <w:kern w:val="0"/>
                <w:szCs w:val="21"/>
              </w:rPr>
              <w:t>5</w:t>
            </w:r>
          </w:p>
        </w:tc>
        <w:tc>
          <w:tcPr>
            <w:tcW w:w="955" w:type="dxa"/>
            <w:vAlign w:val="center"/>
          </w:tcPr>
          <w:p>
            <w:pPr>
              <w:snapToGrid w:val="0"/>
              <w:jc w:val="center"/>
              <w:rPr>
                <w:color w:val="000000"/>
                <w:kern w:val="0"/>
                <w:szCs w:val="21"/>
              </w:rPr>
            </w:pPr>
            <w:r>
              <w:rPr>
                <w:color w:val="000000"/>
                <w:kern w:val="0"/>
                <w:szCs w:val="21"/>
              </w:rPr>
              <w:t>技术</w:t>
            </w:r>
          </w:p>
        </w:tc>
        <w:tc>
          <w:tcPr>
            <w:tcW w:w="2440" w:type="dxa"/>
            <w:vAlign w:val="center"/>
          </w:tcPr>
          <w:p>
            <w:pPr>
              <w:snapToGrid w:val="0"/>
              <w:jc w:val="center"/>
              <w:rPr>
                <w:color w:val="000000"/>
                <w:kern w:val="0"/>
                <w:szCs w:val="21"/>
              </w:rPr>
            </w:pPr>
            <w:r>
              <w:rPr>
                <w:color w:val="000000"/>
                <w:kern w:val="0"/>
                <w:szCs w:val="21"/>
              </w:rPr>
              <w:t>是否符合磋商文件中规定的其他实质性要求</w:t>
            </w:r>
          </w:p>
        </w:tc>
        <w:tc>
          <w:tcPr>
            <w:tcW w:w="2208" w:type="dxa"/>
            <w:vAlign w:val="center"/>
          </w:tcPr>
          <w:p>
            <w:pPr>
              <w:snapToGrid w:val="0"/>
              <w:jc w:val="center"/>
              <w:rPr>
                <w:color w:val="000000"/>
                <w:kern w:val="0"/>
                <w:szCs w:val="21"/>
              </w:rPr>
            </w:pPr>
            <w:r>
              <w:rPr>
                <w:color w:val="000000"/>
                <w:kern w:val="0"/>
                <w:szCs w:val="21"/>
              </w:rPr>
              <w:t>上传全部响应文件</w:t>
            </w:r>
          </w:p>
        </w:tc>
        <w:tc>
          <w:tcPr>
            <w:tcW w:w="2030" w:type="dxa"/>
            <w:vAlign w:val="center"/>
          </w:tcPr>
          <w:p>
            <w:pPr>
              <w:snapToGrid w:val="0"/>
              <w:jc w:val="center"/>
              <w:rPr>
                <w:color w:val="000000"/>
                <w:kern w:val="0"/>
                <w:szCs w:val="21"/>
              </w:rPr>
            </w:pPr>
            <w:r>
              <w:rPr>
                <w:color w:val="000000"/>
                <w:kern w:val="0"/>
                <w:szCs w:val="21"/>
              </w:rPr>
              <w:t>满足磋商文件要求</w:t>
            </w:r>
          </w:p>
        </w:tc>
      </w:tr>
    </w:tbl>
    <w:p>
      <w:pPr>
        <w:pStyle w:val="30"/>
        <w:ind w:firstLine="420"/>
      </w:pPr>
    </w:p>
    <w:p>
      <w:pPr>
        <w:widowControl/>
        <w:snapToGrid w:val="0"/>
        <w:spacing w:line="360" w:lineRule="auto"/>
        <w:ind w:firstLine="480" w:firstLineChars="200"/>
        <w:jc w:val="left"/>
        <w:rPr>
          <w:color w:val="000000"/>
          <w:kern w:val="0"/>
          <w:sz w:val="24"/>
        </w:rPr>
      </w:pPr>
      <w:r>
        <w:rPr>
          <w:color w:val="000000"/>
          <w:kern w:val="0"/>
          <w:sz w:val="24"/>
        </w:rPr>
        <w:t>17.3磋商小组在资格性、符合性审查后，在“评审报告”中对审查情况做详细记录。</w:t>
      </w:r>
    </w:p>
    <w:p>
      <w:pPr>
        <w:widowControl/>
        <w:tabs>
          <w:tab w:val="left" w:pos="720"/>
        </w:tabs>
        <w:snapToGrid w:val="0"/>
        <w:spacing w:line="360" w:lineRule="auto"/>
        <w:ind w:firstLine="480" w:firstLineChars="200"/>
        <w:jc w:val="left"/>
        <w:rPr>
          <w:color w:val="000000"/>
          <w:kern w:val="0"/>
          <w:sz w:val="24"/>
        </w:rPr>
      </w:pPr>
      <w:r>
        <w:rPr>
          <w:color w:val="000000"/>
          <w:kern w:val="0"/>
          <w:sz w:val="24"/>
        </w:rPr>
        <w:t>18.磋商</w:t>
      </w:r>
    </w:p>
    <w:p>
      <w:pPr>
        <w:widowControl/>
        <w:snapToGrid w:val="0"/>
        <w:spacing w:line="360" w:lineRule="auto"/>
        <w:ind w:firstLine="480" w:firstLineChars="200"/>
        <w:jc w:val="left"/>
        <w:rPr>
          <w:color w:val="000000"/>
          <w:kern w:val="0"/>
          <w:sz w:val="24"/>
        </w:rPr>
      </w:pPr>
      <w:r>
        <w:rPr>
          <w:color w:val="000000"/>
          <w:kern w:val="0"/>
          <w:sz w:val="24"/>
        </w:rPr>
        <w:t>18.1磋商小组可以与供应商进行多轮磋商，在磋商过程中，磋商小组可以根据磋商文件和磋商情况实质性变动采购需求中的技术、服务要求以及合同草案条款，但不得变动磋商文件中的其他内容。实质性变动的内容，须经采购人代表确认。</w:t>
      </w:r>
    </w:p>
    <w:p>
      <w:pPr>
        <w:widowControl/>
        <w:snapToGrid w:val="0"/>
        <w:spacing w:line="360" w:lineRule="auto"/>
        <w:ind w:firstLine="480" w:firstLineChars="200"/>
        <w:jc w:val="left"/>
        <w:rPr>
          <w:color w:val="000000"/>
          <w:kern w:val="0"/>
          <w:sz w:val="24"/>
        </w:rPr>
      </w:pPr>
      <w:r>
        <w:rPr>
          <w:color w:val="000000"/>
          <w:kern w:val="0"/>
          <w:sz w:val="24"/>
        </w:rPr>
        <w:t>18.2对磋商文件做出的实质性变动是磋商文件的有效组成部分，磋商小组以书面形式同时通知所有参加磋商的供应商。</w:t>
      </w:r>
    </w:p>
    <w:p>
      <w:pPr>
        <w:widowControl/>
        <w:snapToGrid w:val="0"/>
        <w:spacing w:line="360" w:lineRule="auto"/>
        <w:ind w:firstLine="480" w:firstLineChars="200"/>
        <w:jc w:val="left"/>
        <w:rPr>
          <w:color w:val="000000"/>
          <w:kern w:val="0"/>
          <w:sz w:val="24"/>
        </w:rPr>
      </w:pPr>
      <w:r>
        <w:rPr>
          <w:color w:val="000000"/>
          <w:kern w:val="0"/>
          <w:sz w:val="24"/>
        </w:rPr>
        <w:t>18.3供应商应当按照磋商文件的变动情况和磋商小组的要求重新提交响应文件，并由其法定代表人或授权代表签字确认。</w:t>
      </w:r>
    </w:p>
    <w:p>
      <w:pPr>
        <w:widowControl/>
        <w:tabs>
          <w:tab w:val="left" w:pos="720"/>
        </w:tabs>
        <w:snapToGrid w:val="0"/>
        <w:spacing w:line="360" w:lineRule="auto"/>
        <w:ind w:firstLine="480" w:firstLineChars="200"/>
        <w:jc w:val="left"/>
        <w:rPr>
          <w:color w:val="000000"/>
          <w:kern w:val="0"/>
          <w:sz w:val="24"/>
        </w:rPr>
      </w:pPr>
      <w:r>
        <w:rPr>
          <w:color w:val="000000"/>
          <w:kern w:val="0"/>
          <w:sz w:val="24"/>
        </w:rPr>
        <w:t>19.</w:t>
      </w:r>
      <w:r>
        <w:rPr>
          <w:b/>
          <w:bCs/>
          <w:color w:val="000000"/>
          <w:kern w:val="0"/>
          <w:sz w:val="24"/>
        </w:rPr>
        <w:t>第二轮报价</w:t>
      </w:r>
    </w:p>
    <w:p>
      <w:pPr>
        <w:widowControl/>
        <w:snapToGrid w:val="0"/>
        <w:spacing w:line="360" w:lineRule="auto"/>
        <w:ind w:firstLine="480" w:firstLineChars="200"/>
        <w:jc w:val="left"/>
        <w:rPr>
          <w:color w:val="000000"/>
          <w:kern w:val="0"/>
          <w:sz w:val="24"/>
        </w:rPr>
      </w:pPr>
      <w:r>
        <w:rPr>
          <w:color w:val="000000"/>
          <w:kern w:val="0"/>
          <w:sz w:val="24"/>
        </w:rPr>
        <w:t>19.1第二轮报价采用网上填写的形式做出，供应商须按照采购代理机构确定的最终报价时间统一报出；</w:t>
      </w:r>
    </w:p>
    <w:p>
      <w:pPr>
        <w:widowControl/>
        <w:snapToGrid w:val="0"/>
        <w:spacing w:line="360" w:lineRule="auto"/>
        <w:ind w:firstLine="480" w:firstLineChars="200"/>
        <w:jc w:val="left"/>
        <w:rPr>
          <w:color w:val="000000"/>
          <w:kern w:val="0"/>
          <w:sz w:val="24"/>
        </w:rPr>
      </w:pPr>
      <w:r>
        <w:rPr>
          <w:color w:val="000000"/>
          <w:kern w:val="0"/>
          <w:sz w:val="24"/>
        </w:rPr>
        <w:t>19.2第二轮报价即最终报价。</w:t>
      </w:r>
    </w:p>
    <w:p>
      <w:pPr>
        <w:widowControl/>
        <w:tabs>
          <w:tab w:val="left" w:pos="720"/>
        </w:tabs>
        <w:snapToGrid w:val="0"/>
        <w:spacing w:line="360" w:lineRule="auto"/>
        <w:ind w:firstLine="480" w:firstLineChars="200"/>
        <w:jc w:val="left"/>
        <w:rPr>
          <w:color w:val="000000"/>
          <w:kern w:val="0"/>
          <w:sz w:val="24"/>
        </w:rPr>
      </w:pPr>
      <w:r>
        <w:rPr>
          <w:color w:val="000000"/>
          <w:kern w:val="0"/>
          <w:sz w:val="24"/>
        </w:rPr>
        <w:t>19.3报价结束后，磋商小组须对各供应商确定的最终报价进行合理性审核，如磋商小组一致认为某个供应商的最终报价存在明显不合理，不能满足项目实质性要求、不能诚信履行的可能时，磋商小组有权决定是否通知供应商限期进行书面解释或提供相关证明材料。若已要求，而该供应商在规定期限内未做出解释、做出的解释不合理或不能提供证明材料的，磋商小组有权拒绝该报价。</w:t>
      </w:r>
    </w:p>
    <w:p>
      <w:pPr>
        <w:widowControl/>
        <w:tabs>
          <w:tab w:val="left" w:pos="720"/>
        </w:tabs>
        <w:snapToGrid w:val="0"/>
        <w:spacing w:line="360" w:lineRule="auto"/>
        <w:ind w:firstLine="480" w:firstLineChars="200"/>
        <w:jc w:val="left"/>
        <w:rPr>
          <w:color w:val="000000"/>
          <w:kern w:val="0"/>
          <w:sz w:val="24"/>
        </w:rPr>
      </w:pPr>
      <w:r>
        <w:rPr>
          <w:color w:val="000000"/>
          <w:kern w:val="0"/>
          <w:sz w:val="24"/>
        </w:rPr>
        <w:t>20.综合评分</w:t>
      </w:r>
    </w:p>
    <w:p>
      <w:pPr>
        <w:widowControl/>
        <w:tabs>
          <w:tab w:val="left" w:pos="720"/>
        </w:tabs>
        <w:snapToGrid w:val="0"/>
        <w:spacing w:line="360" w:lineRule="auto"/>
        <w:ind w:firstLine="480" w:firstLineChars="200"/>
        <w:jc w:val="left"/>
        <w:rPr>
          <w:color w:val="000000"/>
          <w:kern w:val="0"/>
          <w:sz w:val="24"/>
        </w:rPr>
      </w:pPr>
      <w:r>
        <w:rPr>
          <w:color w:val="000000"/>
          <w:kern w:val="0"/>
          <w:sz w:val="24"/>
        </w:rPr>
        <w:t>磋商小组各成员应当独立对每个通过资格性和符合性审查的响应文件进行评价、打分，然后进行汇总。</w:t>
      </w:r>
    </w:p>
    <w:tbl>
      <w:tblPr>
        <w:tblStyle w:val="31"/>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2"/>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542" w:type="dxa"/>
            <w:vAlign w:val="center"/>
          </w:tcPr>
          <w:p>
            <w:pPr>
              <w:widowControl/>
              <w:snapToGrid w:val="0"/>
              <w:spacing w:line="360" w:lineRule="exact"/>
              <w:jc w:val="center"/>
              <w:rPr>
                <w:color w:val="000000"/>
                <w:kern w:val="0"/>
                <w:szCs w:val="21"/>
              </w:rPr>
            </w:pPr>
            <w:r>
              <w:rPr>
                <w:color w:val="000000"/>
                <w:kern w:val="0"/>
                <w:szCs w:val="21"/>
              </w:rPr>
              <w:t>评分内容及标准</w:t>
            </w:r>
          </w:p>
        </w:tc>
        <w:tc>
          <w:tcPr>
            <w:tcW w:w="779" w:type="dxa"/>
            <w:vAlign w:val="center"/>
          </w:tcPr>
          <w:p>
            <w:pPr>
              <w:widowControl/>
              <w:snapToGrid w:val="0"/>
              <w:spacing w:line="360" w:lineRule="exact"/>
              <w:jc w:val="center"/>
              <w:rPr>
                <w:color w:val="000000"/>
                <w:kern w:val="0"/>
                <w:szCs w:val="21"/>
              </w:rPr>
            </w:pPr>
            <w:r>
              <w:rPr>
                <w:color w:val="000000"/>
                <w:kern w:val="0"/>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542" w:type="dxa"/>
            <w:vAlign w:val="center"/>
          </w:tcPr>
          <w:p>
            <w:pPr>
              <w:widowControl/>
              <w:snapToGrid w:val="0"/>
              <w:spacing w:line="360" w:lineRule="exact"/>
              <w:rPr>
                <w:color w:val="000000"/>
                <w:kern w:val="0"/>
                <w:szCs w:val="21"/>
              </w:rPr>
            </w:pPr>
            <w:r>
              <w:rPr>
                <w:color w:val="000000"/>
                <w:kern w:val="0"/>
                <w:szCs w:val="21"/>
              </w:rPr>
              <w:t>一、商务部分</w:t>
            </w:r>
          </w:p>
        </w:tc>
        <w:tc>
          <w:tcPr>
            <w:tcW w:w="779" w:type="dxa"/>
            <w:vAlign w:val="center"/>
          </w:tcPr>
          <w:p>
            <w:pPr>
              <w:widowControl/>
              <w:snapToGrid w:val="0"/>
              <w:spacing w:line="360" w:lineRule="exact"/>
              <w:jc w:val="center"/>
              <w:rPr>
                <w:rFonts w:hint="default" w:eastAsia="宋体"/>
                <w:color w:val="000000"/>
                <w:kern w:val="0"/>
                <w:sz w:val="18"/>
                <w:szCs w:val="18"/>
                <w:lang w:val="en-US" w:eastAsia="zh-CN"/>
              </w:rPr>
            </w:pPr>
            <w:r>
              <w:rPr>
                <w:rFonts w:hint="eastAsia"/>
                <w:color w:val="000000"/>
                <w:kern w:val="0"/>
                <w:sz w:val="18"/>
                <w:szCs w:val="1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jc w:val="center"/>
        </w:trPr>
        <w:tc>
          <w:tcPr>
            <w:tcW w:w="7542" w:type="dxa"/>
            <w:vAlign w:val="center"/>
          </w:tcPr>
          <w:p>
            <w:pPr>
              <w:widowControl/>
              <w:adjustRightInd w:val="0"/>
              <w:snapToGrid w:val="0"/>
              <w:spacing w:line="360" w:lineRule="exact"/>
              <w:jc w:val="left"/>
              <w:rPr>
                <w:sz w:val="18"/>
                <w:szCs w:val="18"/>
              </w:rPr>
            </w:pPr>
            <w:r>
              <w:rPr>
                <w:sz w:val="18"/>
                <w:szCs w:val="18"/>
              </w:rPr>
              <w:t>1</w:t>
            </w:r>
            <w:r>
              <w:rPr>
                <w:rFonts w:hint="eastAsia"/>
                <w:sz w:val="18"/>
                <w:szCs w:val="18"/>
              </w:rPr>
              <w:t>.</w:t>
            </w:r>
            <w:r>
              <w:rPr>
                <w:sz w:val="18"/>
                <w:szCs w:val="18"/>
              </w:rPr>
              <w:t>供应商业绩</w:t>
            </w:r>
          </w:p>
          <w:p>
            <w:pPr>
              <w:widowControl/>
              <w:adjustRightInd w:val="0"/>
              <w:snapToGrid w:val="0"/>
              <w:spacing w:line="360" w:lineRule="exact"/>
              <w:jc w:val="left"/>
              <w:rPr>
                <w:sz w:val="18"/>
                <w:szCs w:val="18"/>
              </w:rPr>
            </w:pPr>
            <w:r>
              <w:rPr>
                <w:sz w:val="18"/>
                <w:szCs w:val="18"/>
              </w:rPr>
              <w:t>1.1</w:t>
            </w:r>
            <w:r>
              <w:rPr>
                <w:rFonts w:hint="eastAsia"/>
                <w:sz w:val="18"/>
                <w:szCs w:val="18"/>
              </w:rPr>
              <w:t>打分条件</w:t>
            </w:r>
          </w:p>
          <w:p>
            <w:pPr>
              <w:widowControl/>
              <w:adjustRightInd w:val="0"/>
              <w:snapToGrid w:val="0"/>
              <w:spacing w:line="360" w:lineRule="exact"/>
              <w:jc w:val="left"/>
              <w:rPr>
                <w:sz w:val="18"/>
                <w:szCs w:val="18"/>
              </w:rPr>
            </w:pPr>
            <w:r>
              <w:rPr>
                <w:sz w:val="18"/>
                <w:szCs w:val="18"/>
              </w:rPr>
              <w:t>1.1.1</w:t>
            </w:r>
            <w:r>
              <w:rPr>
                <w:rFonts w:hint="eastAsia"/>
                <w:sz w:val="18"/>
                <w:szCs w:val="18"/>
              </w:rPr>
              <w:t>供应商的合同案例是以供应商自身合同为准，即合同的乙方必须与供应商的名称完全一致，如公司名称发生变更，必须提供相关证明文件。</w:t>
            </w:r>
          </w:p>
          <w:p>
            <w:pPr>
              <w:widowControl/>
              <w:adjustRightInd w:val="0"/>
              <w:snapToGrid w:val="0"/>
              <w:spacing w:line="360" w:lineRule="exact"/>
              <w:jc w:val="left"/>
              <w:rPr>
                <w:sz w:val="18"/>
                <w:szCs w:val="18"/>
              </w:rPr>
            </w:pPr>
            <w:r>
              <w:rPr>
                <w:rFonts w:hint="eastAsia"/>
                <w:sz w:val="18"/>
                <w:szCs w:val="18"/>
              </w:rPr>
              <w:t>1.1.2合同要求年限为202</w:t>
            </w:r>
            <w:r>
              <w:rPr>
                <w:rFonts w:hint="eastAsia"/>
                <w:sz w:val="18"/>
                <w:szCs w:val="18"/>
                <w:lang w:val="en-US" w:eastAsia="zh-CN"/>
              </w:rPr>
              <w:t>1</w:t>
            </w:r>
            <w:r>
              <w:rPr>
                <w:rFonts w:hint="eastAsia"/>
                <w:sz w:val="18"/>
                <w:szCs w:val="18"/>
              </w:rPr>
              <w:t>年1月1日至今。</w:t>
            </w:r>
          </w:p>
          <w:p>
            <w:pPr>
              <w:widowControl/>
              <w:adjustRightInd w:val="0"/>
              <w:snapToGrid w:val="0"/>
              <w:spacing w:line="360" w:lineRule="exact"/>
              <w:jc w:val="left"/>
              <w:rPr>
                <w:sz w:val="18"/>
                <w:szCs w:val="18"/>
              </w:rPr>
            </w:pPr>
            <w:r>
              <w:rPr>
                <w:rFonts w:hint="eastAsia"/>
                <w:sz w:val="18"/>
                <w:szCs w:val="18"/>
              </w:rPr>
              <w:t>1.1.3合同案例的时间以合同签订时间为准。</w:t>
            </w:r>
          </w:p>
          <w:p>
            <w:pPr>
              <w:widowControl/>
              <w:adjustRightInd w:val="0"/>
              <w:snapToGrid w:val="0"/>
              <w:spacing w:line="360" w:lineRule="exact"/>
              <w:jc w:val="left"/>
              <w:rPr>
                <w:sz w:val="18"/>
                <w:szCs w:val="18"/>
              </w:rPr>
            </w:pPr>
            <w:r>
              <w:rPr>
                <w:rFonts w:hint="eastAsia"/>
                <w:sz w:val="18"/>
                <w:szCs w:val="18"/>
              </w:rPr>
              <w:t>1.1.4同类型合同业绩指</w:t>
            </w:r>
            <w:r>
              <w:rPr>
                <w:sz w:val="18"/>
                <w:szCs w:val="18"/>
              </w:rPr>
              <w:t>相关食品安全</w:t>
            </w:r>
            <w:r>
              <w:rPr>
                <w:rFonts w:hint="eastAsia"/>
                <w:sz w:val="18"/>
                <w:szCs w:val="18"/>
              </w:rPr>
              <w:t>监督</w:t>
            </w:r>
            <w:r>
              <w:rPr>
                <w:sz w:val="18"/>
                <w:szCs w:val="18"/>
              </w:rPr>
              <w:t>抽检</w:t>
            </w:r>
            <w:r>
              <w:rPr>
                <w:rFonts w:hint="eastAsia"/>
                <w:sz w:val="18"/>
                <w:szCs w:val="18"/>
              </w:rPr>
              <w:t>服务。</w:t>
            </w:r>
          </w:p>
          <w:p>
            <w:pPr>
              <w:widowControl/>
              <w:adjustRightInd w:val="0"/>
              <w:snapToGrid w:val="0"/>
              <w:spacing w:line="360" w:lineRule="exact"/>
              <w:jc w:val="left"/>
              <w:rPr>
                <w:sz w:val="18"/>
                <w:szCs w:val="18"/>
              </w:rPr>
            </w:pPr>
            <w:r>
              <w:rPr>
                <w:rFonts w:hint="eastAsia"/>
                <w:sz w:val="18"/>
                <w:szCs w:val="18"/>
              </w:rPr>
              <w:t>1.1.</w:t>
            </w:r>
            <w:r>
              <w:rPr>
                <w:sz w:val="18"/>
                <w:szCs w:val="18"/>
              </w:rPr>
              <w:t>5</w:t>
            </w:r>
            <w:r>
              <w:rPr>
                <w:rFonts w:hint="eastAsia"/>
                <w:sz w:val="18"/>
                <w:szCs w:val="18"/>
              </w:rPr>
              <w:t>一个完整的案例资料包括：签订的合同首页、合同金额所在页、签字盖章页等</w:t>
            </w:r>
            <w:r>
              <w:rPr>
                <w:sz w:val="18"/>
                <w:szCs w:val="18"/>
              </w:rPr>
              <w:t>相关证明页复印件</w:t>
            </w:r>
            <w:r>
              <w:rPr>
                <w:rFonts w:hint="eastAsia"/>
                <w:sz w:val="18"/>
                <w:szCs w:val="18"/>
              </w:rPr>
              <w:t>或扫描件。</w:t>
            </w:r>
          </w:p>
          <w:p>
            <w:pPr>
              <w:widowControl/>
              <w:adjustRightInd w:val="0"/>
              <w:snapToGrid w:val="0"/>
              <w:spacing w:line="360" w:lineRule="exact"/>
              <w:jc w:val="left"/>
              <w:rPr>
                <w:sz w:val="18"/>
                <w:szCs w:val="18"/>
              </w:rPr>
            </w:pPr>
            <w:r>
              <w:rPr>
                <w:rFonts w:hint="eastAsia"/>
                <w:sz w:val="18"/>
                <w:szCs w:val="18"/>
              </w:rPr>
              <w:t>1.1.</w:t>
            </w:r>
            <w:r>
              <w:rPr>
                <w:sz w:val="18"/>
                <w:szCs w:val="18"/>
              </w:rPr>
              <w:t>6</w:t>
            </w:r>
            <w:r>
              <w:rPr>
                <w:rFonts w:hint="eastAsia"/>
                <w:sz w:val="18"/>
                <w:szCs w:val="18"/>
              </w:rPr>
              <w:t>供应商所提供证明材料应真实完整，不得涂改，否则不予评分。</w:t>
            </w:r>
          </w:p>
          <w:p>
            <w:pPr>
              <w:widowControl/>
              <w:adjustRightInd w:val="0"/>
              <w:snapToGrid w:val="0"/>
              <w:spacing w:line="360" w:lineRule="exact"/>
              <w:jc w:val="left"/>
              <w:rPr>
                <w:sz w:val="18"/>
                <w:szCs w:val="18"/>
              </w:rPr>
            </w:pPr>
            <w:r>
              <w:rPr>
                <w:rFonts w:hint="eastAsia"/>
                <w:sz w:val="18"/>
                <w:szCs w:val="18"/>
              </w:rPr>
              <w:t>1.2打分标准</w:t>
            </w:r>
          </w:p>
          <w:p>
            <w:pPr>
              <w:widowControl/>
              <w:snapToGrid w:val="0"/>
              <w:spacing w:line="360" w:lineRule="exact"/>
              <w:rPr>
                <w:color w:val="000000"/>
                <w:kern w:val="0"/>
                <w:szCs w:val="21"/>
              </w:rPr>
            </w:pPr>
            <w:r>
              <w:rPr>
                <w:rFonts w:hint="eastAsia"/>
                <w:sz w:val="18"/>
                <w:szCs w:val="18"/>
              </w:rPr>
              <w:t>每提供一份同类型合同业绩的复印件或扫描件，得</w:t>
            </w:r>
            <w:r>
              <w:rPr>
                <w:rFonts w:hint="eastAsia"/>
                <w:sz w:val="18"/>
                <w:szCs w:val="18"/>
                <w:lang w:val="en-US" w:eastAsia="zh-CN"/>
              </w:rPr>
              <w:t>2</w:t>
            </w:r>
            <w:r>
              <w:rPr>
                <w:rFonts w:hint="eastAsia"/>
                <w:sz w:val="18"/>
                <w:szCs w:val="18"/>
              </w:rPr>
              <w:t>分，累计最高</w:t>
            </w:r>
            <w:r>
              <w:rPr>
                <w:rFonts w:hint="eastAsia"/>
                <w:sz w:val="18"/>
                <w:szCs w:val="18"/>
                <w:lang w:val="en-US" w:eastAsia="zh-CN"/>
              </w:rPr>
              <w:t>20</w:t>
            </w:r>
            <w:r>
              <w:rPr>
                <w:rFonts w:hint="eastAsia"/>
                <w:sz w:val="18"/>
                <w:szCs w:val="18"/>
              </w:rPr>
              <w:t>分。</w:t>
            </w:r>
          </w:p>
        </w:tc>
        <w:tc>
          <w:tcPr>
            <w:tcW w:w="779" w:type="dxa"/>
            <w:vAlign w:val="center"/>
          </w:tcPr>
          <w:p>
            <w:pPr>
              <w:pStyle w:val="28"/>
              <w:snapToGrid w:val="0"/>
              <w:spacing w:line="300" w:lineRule="exact"/>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542" w:type="dxa"/>
            <w:vAlign w:val="center"/>
          </w:tcPr>
          <w:p>
            <w:pPr>
              <w:widowControl/>
              <w:adjustRightInd w:val="0"/>
              <w:snapToGrid w:val="0"/>
              <w:spacing w:line="360" w:lineRule="exact"/>
              <w:jc w:val="left"/>
              <w:rPr>
                <w:rFonts w:hint="eastAsia"/>
                <w:sz w:val="18"/>
                <w:szCs w:val="18"/>
              </w:rPr>
            </w:pPr>
            <w:r>
              <w:rPr>
                <w:rFonts w:hint="eastAsia"/>
                <w:sz w:val="18"/>
                <w:szCs w:val="18"/>
              </w:rPr>
              <w:t>2.供应商评测能力</w:t>
            </w:r>
          </w:p>
          <w:p>
            <w:pPr>
              <w:widowControl/>
              <w:adjustRightInd w:val="0"/>
              <w:snapToGrid w:val="0"/>
              <w:spacing w:line="360" w:lineRule="exact"/>
              <w:jc w:val="left"/>
              <w:rPr>
                <w:rFonts w:hint="eastAsia"/>
                <w:sz w:val="18"/>
                <w:szCs w:val="18"/>
              </w:rPr>
            </w:pPr>
            <w:r>
              <w:rPr>
                <w:rFonts w:hint="eastAsia"/>
                <w:sz w:val="18"/>
                <w:szCs w:val="18"/>
                <w:lang w:val="en-US" w:eastAsia="zh-CN"/>
              </w:rPr>
              <w:t>2.1</w:t>
            </w:r>
            <w:r>
              <w:rPr>
                <w:rFonts w:hint="eastAsia"/>
                <w:sz w:val="18"/>
                <w:szCs w:val="18"/>
              </w:rPr>
              <w:t>供应商取得中国合格评定国家认可委员会实验室认可证书（CNAS）</w:t>
            </w:r>
            <w:r>
              <w:rPr>
                <w:rFonts w:hint="eastAsia"/>
                <w:sz w:val="18"/>
                <w:szCs w:val="18"/>
                <w:lang w:eastAsia="zh-CN"/>
              </w:rPr>
              <w:t>，</w:t>
            </w:r>
            <w:r>
              <w:rPr>
                <w:rFonts w:hint="default"/>
                <w:sz w:val="18"/>
                <w:szCs w:val="18"/>
              </w:rPr>
              <w:t>并提供扫描件得</w:t>
            </w:r>
            <w:r>
              <w:rPr>
                <w:rFonts w:hint="eastAsia"/>
                <w:sz w:val="18"/>
                <w:szCs w:val="18"/>
                <w:lang w:val="en-US" w:eastAsia="zh-CN"/>
              </w:rPr>
              <w:t>2</w:t>
            </w:r>
            <w:r>
              <w:rPr>
                <w:rFonts w:hint="default"/>
                <w:sz w:val="18"/>
                <w:szCs w:val="18"/>
              </w:rPr>
              <w:t>分，不提供不得分。</w:t>
            </w:r>
          </w:p>
          <w:p>
            <w:pPr>
              <w:widowControl/>
              <w:adjustRightInd w:val="0"/>
              <w:snapToGrid w:val="0"/>
              <w:spacing w:line="360" w:lineRule="exact"/>
              <w:jc w:val="left"/>
              <w:rPr>
                <w:color w:val="000000"/>
                <w:kern w:val="0"/>
                <w:szCs w:val="21"/>
              </w:rPr>
            </w:pPr>
            <w:r>
              <w:rPr>
                <w:rFonts w:hint="eastAsia"/>
                <w:sz w:val="18"/>
                <w:szCs w:val="18"/>
                <w:lang w:val="en-US" w:eastAsia="zh-CN"/>
              </w:rPr>
              <w:t>2.2</w:t>
            </w:r>
            <w:r>
              <w:rPr>
                <w:rFonts w:hint="default"/>
                <w:sz w:val="18"/>
                <w:szCs w:val="18"/>
              </w:rPr>
              <w:t>供应商</w:t>
            </w:r>
            <w:r>
              <w:rPr>
                <w:rFonts w:hint="eastAsia"/>
                <w:sz w:val="18"/>
                <w:szCs w:val="18"/>
              </w:rPr>
              <w:t>取得农产品质量安全检测机构考核合格证书（CATL）</w:t>
            </w:r>
            <w:r>
              <w:rPr>
                <w:rFonts w:hint="default"/>
                <w:sz w:val="18"/>
                <w:szCs w:val="18"/>
              </w:rPr>
              <w:t>并提供扫描件得</w:t>
            </w:r>
            <w:r>
              <w:rPr>
                <w:rFonts w:hint="eastAsia"/>
                <w:sz w:val="18"/>
                <w:szCs w:val="18"/>
                <w:lang w:val="en-US" w:eastAsia="zh-CN"/>
              </w:rPr>
              <w:t>2</w:t>
            </w:r>
            <w:r>
              <w:rPr>
                <w:rFonts w:hint="default"/>
                <w:sz w:val="18"/>
                <w:szCs w:val="18"/>
              </w:rPr>
              <w:t>分，不提供不得分。</w:t>
            </w:r>
          </w:p>
        </w:tc>
        <w:tc>
          <w:tcPr>
            <w:tcW w:w="779" w:type="dxa"/>
            <w:vAlign w:val="center"/>
          </w:tcPr>
          <w:p>
            <w:pPr>
              <w:pStyle w:val="28"/>
              <w:snapToGrid w:val="0"/>
              <w:spacing w:line="300" w:lineRule="exact"/>
              <w:jc w:val="center"/>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542" w:type="dxa"/>
            <w:vAlign w:val="center"/>
          </w:tcPr>
          <w:p>
            <w:pPr>
              <w:widowControl/>
              <w:adjustRightInd w:val="0"/>
              <w:snapToGrid w:val="0"/>
              <w:spacing w:line="360" w:lineRule="exact"/>
              <w:jc w:val="left"/>
              <w:rPr>
                <w:rFonts w:hint="eastAsia" w:eastAsia="宋体"/>
                <w:sz w:val="18"/>
                <w:szCs w:val="18"/>
                <w:lang w:eastAsia="zh-CN"/>
              </w:rPr>
            </w:pPr>
            <w:r>
              <w:rPr>
                <w:rFonts w:hint="eastAsia"/>
                <w:sz w:val="18"/>
                <w:szCs w:val="18"/>
                <w:lang w:val="en-US" w:eastAsia="zh-CN"/>
              </w:rPr>
              <w:t>3</w:t>
            </w:r>
            <w:r>
              <w:rPr>
                <w:rFonts w:hint="eastAsia"/>
                <w:sz w:val="18"/>
                <w:szCs w:val="18"/>
              </w:rPr>
              <w:t>.</w:t>
            </w:r>
            <w:r>
              <w:rPr>
                <w:rFonts w:hint="eastAsia"/>
                <w:sz w:val="18"/>
                <w:szCs w:val="18"/>
                <w:lang w:val="en-US" w:eastAsia="zh-CN"/>
              </w:rPr>
              <w:t>项目团队</w:t>
            </w:r>
          </w:p>
          <w:p>
            <w:pPr>
              <w:widowControl/>
              <w:adjustRightInd w:val="0"/>
              <w:snapToGrid w:val="0"/>
              <w:spacing w:line="360" w:lineRule="exact"/>
              <w:jc w:val="left"/>
              <w:rPr>
                <w:sz w:val="18"/>
                <w:szCs w:val="18"/>
              </w:rPr>
            </w:pPr>
            <w:r>
              <w:rPr>
                <w:rFonts w:hint="eastAsia"/>
                <w:sz w:val="18"/>
                <w:szCs w:val="18"/>
                <w:lang w:val="en-US" w:eastAsia="zh-CN"/>
              </w:rPr>
              <w:t>3</w:t>
            </w:r>
            <w:r>
              <w:rPr>
                <w:rFonts w:hint="eastAsia"/>
                <w:sz w:val="18"/>
                <w:szCs w:val="18"/>
              </w:rPr>
              <w:t>.1项目负责人具有中级职称的得1分，具有高级职称的得2分，且准确提供本项目负责人的姓名、职务、详细的地址和联系方式，否则不得分。（证明材料包括缴纳社保费凭证、职称证的扫描件）</w:t>
            </w:r>
          </w:p>
          <w:p>
            <w:pPr>
              <w:widowControl/>
              <w:adjustRightInd w:val="0"/>
              <w:snapToGrid w:val="0"/>
              <w:spacing w:line="360" w:lineRule="exact"/>
              <w:jc w:val="left"/>
              <w:rPr>
                <w:sz w:val="18"/>
                <w:szCs w:val="18"/>
              </w:rPr>
            </w:pPr>
            <w:r>
              <w:rPr>
                <w:rFonts w:hint="eastAsia"/>
                <w:sz w:val="18"/>
                <w:szCs w:val="18"/>
                <w:lang w:val="en-US" w:eastAsia="zh-CN"/>
              </w:rPr>
              <w:t>3</w:t>
            </w:r>
            <w:r>
              <w:rPr>
                <w:rFonts w:hint="eastAsia"/>
                <w:sz w:val="18"/>
                <w:szCs w:val="18"/>
              </w:rPr>
              <w:t>.2</w:t>
            </w:r>
            <w:r>
              <w:rPr>
                <w:sz w:val="18"/>
                <w:szCs w:val="18"/>
              </w:rPr>
              <w:t>拟投入本项目专业人员中具备中级及中级以上职称人员</w:t>
            </w:r>
            <w:r>
              <w:rPr>
                <w:rFonts w:hint="eastAsia"/>
                <w:sz w:val="18"/>
                <w:szCs w:val="18"/>
              </w:rPr>
              <w:t>6</w:t>
            </w:r>
            <w:r>
              <w:rPr>
                <w:sz w:val="18"/>
                <w:szCs w:val="18"/>
              </w:rPr>
              <w:t>人得</w:t>
            </w:r>
            <w:r>
              <w:rPr>
                <w:rFonts w:hint="eastAsia"/>
                <w:sz w:val="18"/>
                <w:szCs w:val="18"/>
              </w:rPr>
              <w:t>1</w:t>
            </w:r>
            <w:r>
              <w:rPr>
                <w:sz w:val="18"/>
                <w:szCs w:val="18"/>
              </w:rPr>
              <w:t>分，</w:t>
            </w:r>
            <w:r>
              <w:rPr>
                <w:rFonts w:hint="eastAsia"/>
                <w:sz w:val="18"/>
                <w:szCs w:val="18"/>
              </w:rPr>
              <w:t>每增加2人加1分，最高3分。</w:t>
            </w:r>
            <w:r>
              <w:rPr>
                <w:sz w:val="18"/>
                <w:szCs w:val="18"/>
              </w:rPr>
              <w:t>（证明材料</w:t>
            </w:r>
            <w:r>
              <w:rPr>
                <w:rFonts w:hint="eastAsia"/>
                <w:sz w:val="18"/>
                <w:szCs w:val="18"/>
              </w:rPr>
              <w:t>包括</w:t>
            </w:r>
            <w:r>
              <w:rPr>
                <w:sz w:val="18"/>
                <w:szCs w:val="18"/>
              </w:rPr>
              <w:t>缴纳社保费凭证、职称证的扫描件）</w:t>
            </w:r>
          </w:p>
          <w:p>
            <w:pPr>
              <w:widowControl/>
              <w:adjustRightInd w:val="0"/>
              <w:snapToGrid w:val="0"/>
              <w:spacing w:line="360" w:lineRule="exact"/>
              <w:jc w:val="left"/>
              <w:rPr>
                <w:rFonts w:ascii="Times New Roman" w:hAnsi="Times New Roman" w:eastAsia="宋体" w:cs="Times New Roman"/>
                <w:kern w:val="2"/>
                <w:sz w:val="18"/>
                <w:szCs w:val="18"/>
                <w:lang w:val="en-US" w:eastAsia="zh-CN" w:bidi="ar-SA"/>
              </w:rPr>
            </w:pPr>
            <w:r>
              <w:rPr>
                <w:rFonts w:hint="eastAsia"/>
                <w:sz w:val="18"/>
                <w:szCs w:val="18"/>
                <w:lang w:val="en-US" w:eastAsia="zh-CN"/>
              </w:rPr>
              <w:t>3</w:t>
            </w:r>
            <w:r>
              <w:rPr>
                <w:rFonts w:hint="eastAsia"/>
                <w:sz w:val="18"/>
                <w:szCs w:val="18"/>
              </w:rPr>
              <w:t>.3供应商经过培训考核并取得授权上岗承担本次采购任务的现有专职抽样人员数量：抽样人员数量达到8人得1分，每增加2人加1分，最高3分。</w:t>
            </w:r>
            <w:r>
              <w:rPr>
                <w:sz w:val="18"/>
                <w:szCs w:val="18"/>
              </w:rPr>
              <w:t>（证明材料</w:t>
            </w:r>
            <w:r>
              <w:rPr>
                <w:rFonts w:hint="eastAsia"/>
                <w:sz w:val="18"/>
                <w:szCs w:val="18"/>
              </w:rPr>
              <w:t>包括</w:t>
            </w:r>
            <w:r>
              <w:rPr>
                <w:sz w:val="18"/>
                <w:szCs w:val="18"/>
              </w:rPr>
              <w:t>缴纳社保费凭证、</w:t>
            </w:r>
            <w:r>
              <w:rPr>
                <w:rFonts w:hint="eastAsia"/>
                <w:sz w:val="18"/>
                <w:szCs w:val="18"/>
                <w:lang w:val="en-US" w:eastAsia="zh-CN"/>
              </w:rPr>
              <w:t>上岗证</w:t>
            </w:r>
            <w:r>
              <w:rPr>
                <w:sz w:val="18"/>
                <w:szCs w:val="18"/>
              </w:rPr>
              <w:t>的扫描件）</w:t>
            </w:r>
          </w:p>
        </w:tc>
        <w:tc>
          <w:tcPr>
            <w:tcW w:w="779" w:type="dxa"/>
            <w:vAlign w:val="center"/>
          </w:tcPr>
          <w:p>
            <w:pPr>
              <w:widowControl/>
              <w:adjustRightInd w:val="0"/>
              <w:snapToGrid w:val="0"/>
              <w:spacing w:line="360" w:lineRule="exact"/>
              <w:jc w:val="center"/>
              <w:rPr>
                <w:rFonts w:ascii="Times New Roman" w:hAnsi="Times New Roman" w:eastAsia="宋体" w:cs="Times New Roman"/>
                <w:kern w:val="2"/>
                <w:sz w:val="18"/>
                <w:szCs w:val="18"/>
                <w:lang w:val="en-US" w:eastAsia="zh-CN" w:bidi="ar-SA"/>
              </w:rPr>
            </w:pP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542" w:type="dxa"/>
            <w:vAlign w:val="center"/>
          </w:tcPr>
          <w:p>
            <w:pPr>
              <w:widowControl/>
              <w:adjustRightInd w:val="0"/>
              <w:snapToGrid w:val="0"/>
              <w:spacing w:line="360" w:lineRule="exact"/>
              <w:jc w:val="left"/>
              <w:rPr>
                <w:sz w:val="18"/>
                <w:szCs w:val="18"/>
              </w:rPr>
            </w:pPr>
            <w:r>
              <w:rPr>
                <w:rFonts w:hint="eastAsia"/>
                <w:sz w:val="18"/>
                <w:szCs w:val="18"/>
                <w:lang w:val="en-US" w:eastAsia="zh-CN"/>
              </w:rPr>
              <w:t>4</w:t>
            </w:r>
            <w:r>
              <w:rPr>
                <w:rFonts w:hint="eastAsia"/>
                <w:sz w:val="18"/>
                <w:szCs w:val="18"/>
              </w:rPr>
              <w:t>.采样车辆</w:t>
            </w:r>
          </w:p>
          <w:p>
            <w:pPr>
              <w:widowControl/>
              <w:adjustRightInd w:val="0"/>
              <w:snapToGrid w:val="0"/>
              <w:spacing w:line="360" w:lineRule="exact"/>
              <w:jc w:val="left"/>
              <w:rPr>
                <w:sz w:val="18"/>
                <w:szCs w:val="18"/>
              </w:rPr>
            </w:pPr>
            <w:r>
              <w:rPr>
                <w:rFonts w:hint="eastAsia"/>
                <w:sz w:val="18"/>
                <w:szCs w:val="18"/>
              </w:rPr>
              <w:t>供应商</w:t>
            </w:r>
            <w:r>
              <w:rPr>
                <w:sz w:val="18"/>
                <w:szCs w:val="18"/>
              </w:rPr>
              <w:t>自行购置</w:t>
            </w:r>
            <w:r>
              <w:rPr>
                <w:rFonts w:hint="eastAsia"/>
                <w:sz w:val="18"/>
                <w:szCs w:val="18"/>
              </w:rPr>
              <w:t>或租赁</w:t>
            </w:r>
            <w:r>
              <w:rPr>
                <w:sz w:val="18"/>
                <w:szCs w:val="18"/>
              </w:rPr>
              <w:t>专用采样车辆</w:t>
            </w:r>
            <w:r>
              <w:rPr>
                <w:rFonts w:hint="eastAsia"/>
                <w:sz w:val="18"/>
                <w:szCs w:val="18"/>
              </w:rPr>
              <w:t>5</w:t>
            </w:r>
            <w:r>
              <w:rPr>
                <w:sz w:val="18"/>
                <w:szCs w:val="18"/>
              </w:rPr>
              <w:t>辆及以上的，得</w:t>
            </w:r>
            <w:r>
              <w:rPr>
                <w:rFonts w:hint="eastAsia"/>
                <w:sz w:val="18"/>
                <w:szCs w:val="18"/>
              </w:rPr>
              <w:t>3</w:t>
            </w:r>
            <w:r>
              <w:rPr>
                <w:sz w:val="18"/>
                <w:szCs w:val="18"/>
              </w:rPr>
              <w:t>分，</w:t>
            </w:r>
            <w:r>
              <w:rPr>
                <w:rFonts w:hint="eastAsia"/>
                <w:sz w:val="18"/>
                <w:szCs w:val="18"/>
              </w:rPr>
              <w:t>缺一辆扣一分，扣完为止。</w:t>
            </w:r>
          </w:p>
          <w:p>
            <w:pPr>
              <w:widowControl/>
              <w:adjustRightInd w:val="0"/>
              <w:snapToGrid w:val="0"/>
              <w:spacing w:line="360" w:lineRule="exact"/>
              <w:jc w:val="left"/>
              <w:rPr>
                <w:rFonts w:ascii="Times New Roman" w:hAnsi="Times New Roman" w:eastAsia="宋体" w:cs="Times New Roman"/>
                <w:kern w:val="2"/>
                <w:sz w:val="18"/>
                <w:szCs w:val="18"/>
                <w:lang w:val="en-US" w:eastAsia="zh-CN" w:bidi="ar-SA"/>
              </w:rPr>
            </w:pPr>
            <w:r>
              <w:rPr>
                <w:sz w:val="18"/>
                <w:szCs w:val="18"/>
              </w:rPr>
              <w:t>（提供车辆购置发票</w:t>
            </w:r>
            <w:r>
              <w:rPr>
                <w:rFonts w:hint="eastAsia"/>
                <w:sz w:val="18"/>
                <w:szCs w:val="18"/>
              </w:rPr>
              <w:t>或租赁协议</w:t>
            </w:r>
            <w:r>
              <w:rPr>
                <w:sz w:val="18"/>
                <w:szCs w:val="18"/>
              </w:rPr>
              <w:t>、实物照片</w:t>
            </w:r>
            <w:r>
              <w:rPr>
                <w:rFonts w:hint="eastAsia"/>
                <w:sz w:val="18"/>
                <w:szCs w:val="18"/>
              </w:rPr>
              <w:t>、</w:t>
            </w:r>
            <w:r>
              <w:rPr>
                <w:sz w:val="18"/>
                <w:szCs w:val="18"/>
              </w:rPr>
              <w:t>行驶证</w:t>
            </w:r>
            <w:r>
              <w:rPr>
                <w:rFonts w:hint="eastAsia"/>
                <w:sz w:val="18"/>
                <w:szCs w:val="18"/>
                <w:lang w:val="en-US" w:eastAsia="zh-CN"/>
              </w:rPr>
              <w:t>扫描件</w:t>
            </w:r>
            <w:r>
              <w:rPr>
                <w:rFonts w:hint="eastAsia"/>
                <w:sz w:val="18"/>
                <w:szCs w:val="18"/>
              </w:rPr>
              <w:t>，</w:t>
            </w:r>
            <w:r>
              <w:rPr>
                <w:sz w:val="18"/>
                <w:szCs w:val="18"/>
              </w:rPr>
              <w:t>否则不得分）</w:t>
            </w:r>
          </w:p>
        </w:tc>
        <w:tc>
          <w:tcPr>
            <w:tcW w:w="779" w:type="dxa"/>
            <w:vAlign w:val="center"/>
          </w:tcPr>
          <w:p>
            <w:pPr>
              <w:pStyle w:val="28"/>
              <w:snapToGrid w:val="0"/>
              <w:spacing w:line="300" w:lineRule="exact"/>
              <w:jc w:val="center"/>
              <w:rPr>
                <w:rFonts w:ascii="Times New Roman" w:hAnsi="Times New Roman" w:eastAsia="宋体" w:cs="Times New Roman"/>
                <w:color w:val="000000"/>
                <w:kern w:val="0"/>
                <w:sz w:val="18"/>
                <w:szCs w:val="18"/>
                <w:lang w:val="en-US" w:eastAsia="zh-CN" w:bidi="ar-SA"/>
              </w:rPr>
            </w:pPr>
            <w:r>
              <w:rPr>
                <w:rFonts w:hint="eastAsia" w:ascii="Times New Roman" w:hAnsi="Times New Roman" w:eastAsia="宋体" w:cs="Times New Roman"/>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542" w:type="dxa"/>
            <w:vAlign w:val="center"/>
          </w:tcPr>
          <w:p>
            <w:pPr>
              <w:widowControl/>
              <w:adjustRightInd w:val="0"/>
              <w:snapToGrid w:val="0"/>
              <w:spacing w:line="360" w:lineRule="exact"/>
              <w:jc w:val="left"/>
              <w:rPr>
                <w:sz w:val="18"/>
                <w:szCs w:val="18"/>
              </w:rPr>
            </w:pPr>
            <w:r>
              <w:rPr>
                <w:rFonts w:hint="eastAsia"/>
                <w:sz w:val="18"/>
                <w:szCs w:val="18"/>
                <w:lang w:val="en-US" w:eastAsia="zh-CN"/>
              </w:rPr>
              <w:t>5</w:t>
            </w:r>
            <w:r>
              <w:rPr>
                <w:rFonts w:hint="eastAsia"/>
                <w:sz w:val="18"/>
                <w:szCs w:val="18"/>
              </w:rPr>
              <w:t>.</w:t>
            </w:r>
            <w:r>
              <w:rPr>
                <w:sz w:val="18"/>
                <w:szCs w:val="18"/>
              </w:rPr>
              <w:t>终端设备</w:t>
            </w:r>
          </w:p>
          <w:p>
            <w:pPr>
              <w:suppressAutoHyphens/>
              <w:snapToGrid w:val="0"/>
              <w:spacing w:line="400" w:lineRule="exact"/>
              <w:rPr>
                <w:rFonts w:ascii="Times New Roman" w:hAnsi="Times New Roman" w:eastAsia="宋体" w:cs="Times New Roman"/>
                <w:kern w:val="2"/>
                <w:sz w:val="18"/>
                <w:szCs w:val="18"/>
                <w:lang w:val="en-US" w:eastAsia="zh-CN" w:bidi="ar-SA"/>
              </w:rPr>
            </w:pPr>
            <w:r>
              <w:rPr>
                <w:rFonts w:hint="eastAsia"/>
                <w:sz w:val="18"/>
                <w:szCs w:val="18"/>
              </w:rPr>
              <w:t>供应商</w:t>
            </w:r>
            <w:r>
              <w:rPr>
                <w:rFonts w:hint="default"/>
                <w:sz w:val="18"/>
                <w:szCs w:val="18"/>
              </w:rPr>
              <w:t>具有</w:t>
            </w:r>
            <w:r>
              <w:rPr>
                <w:sz w:val="18"/>
                <w:szCs w:val="18"/>
              </w:rPr>
              <w:t>与承担任务相适应的抽样设备（</w:t>
            </w:r>
            <w:r>
              <w:rPr>
                <w:rFonts w:hint="default"/>
                <w:sz w:val="18"/>
                <w:szCs w:val="18"/>
              </w:rPr>
              <w:t>平板电脑</w:t>
            </w:r>
            <w:r>
              <w:rPr>
                <w:sz w:val="18"/>
                <w:szCs w:val="18"/>
              </w:rPr>
              <w:t>或智能手机</w:t>
            </w:r>
            <w:r>
              <w:rPr>
                <w:rFonts w:hint="default"/>
                <w:sz w:val="18"/>
                <w:szCs w:val="18"/>
              </w:rPr>
              <w:t>、便携式打印机和执法记录仪，缺一不可</w:t>
            </w:r>
            <w:r>
              <w:rPr>
                <w:rFonts w:hint="eastAsia"/>
                <w:sz w:val="18"/>
                <w:szCs w:val="18"/>
                <w:lang w:eastAsia="zh-CN"/>
              </w:rPr>
              <w:t>）</w:t>
            </w:r>
            <w:r>
              <w:rPr>
                <w:rFonts w:hint="eastAsia"/>
                <w:sz w:val="18"/>
                <w:szCs w:val="18"/>
                <w:lang w:val="en-US" w:eastAsia="zh-CN"/>
              </w:rPr>
              <w:t>4</w:t>
            </w:r>
            <w:r>
              <w:rPr>
                <w:sz w:val="18"/>
                <w:szCs w:val="18"/>
              </w:rPr>
              <w:t>套</w:t>
            </w:r>
            <w:r>
              <w:rPr>
                <w:rFonts w:hint="eastAsia"/>
                <w:sz w:val="18"/>
                <w:szCs w:val="18"/>
              </w:rPr>
              <w:t>及以上</w:t>
            </w:r>
            <w:r>
              <w:rPr>
                <w:sz w:val="18"/>
                <w:szCs w:val="18"/>
              </w:rPr>
              <w:t>得</w:t>
            </w:r>
            <w:r>
              <w:rPr>
                <w:rFonts w:hint="eastAsia"/>
                <w:sz w:val="18"/>
                <w:szCs w:val="18"/>
                <w:lang w:val="en-US" w:eastAsia="zh-CN"/>
              </w:rPr>
              <w:t>5</w:t>
            </w:r>
            <w:r>
              <w:rPr>
                <w:sz w:val="18"/>
                <w:szCs w:val="18"/>
              </w:rPr>
              <w:t>分；</w:t>
            </w:r>
            <w:r>
              <w:rPr>
                <w:rFonts w:hint="default"/>
                <w:sz w:val="18"/>
                <w:szCs w:val="18"/>
              </w:rPr>
              <w:t>每少1套减</w:t>
            </w:r>
            <w:r>
              <w:rPr>
                <w:rFonts w:hint="eastAsia"/>
                <w:sz w:val="18"/>
                <w:szCs w:val="18"/>
                <w:lang w:val="en-US" w:eastAsia="zh-CN"/>
              </w:rPr>
              <w:t>1</w:t>
            </w:r>
            <w:r>
              <w:rPr>
                <w:rFonts w:hint="default"/>
                <w:sz w:val="18"/>
                <w:szCs w:val="18"/>
              </w:rPr>
              <w:t>分。需提供购买发票</w:t>
            </w:r>
            <w:r>
              <w:rPr>
                <w:rFonts w:hint="eastAsia"/>
                <w:sz w:val="18"/>
                <w:szCs w:val="18"/>
                <w:lang w:eastAsia="zh-CN"/>
              </w:rPr>
              <w:t>、</w:t>
            </w:r>
            <w:r>
              <w:rPr>
                <w:rFonts w:hint="default"/>
                <w:sz w:val="18"/>
                <w:szCs w:val="18"/>
              </w:rPr>
              <w:t>终端</w:t>
            </w:r>
            <w:r>
              <w:rPr>
                <w:rFonts w:hint="eastAsia"/>
                <w:sz w:val="18"/>
                <w:szCs w:val="18"/>
                <w:lang w:val="en-US" w:eastAsia="zh-CN"/>
              </w:rPr>
              <w:t>设备照片</w:t>
            </w:r>
            <w:r>
              <w:rPr>
                <w:rFonts w:hint="default"/>
                <w:sz w:val="18"/>
                <w:szCs w:val="18"/>
              </w:rPr>
              <w:t>，不提供或提供证明材料不全的不得分。</w:t>
            </w:r>
          </w:p>
        </w:tc>
        <w:tc>
          <w:tcPr>
            <w:tcW w:w="779" w:type="dxa"/>
            <w:vAlign w:val="center"/>
          </w:tcPr>
          <w:p>
            <w:pPr>
              <w:pStyle w:val="28"/>
              <w:snapToGrid w:val="0"/>
              <w:spacing w:line="300" w:lineRule="exact"/>
              <w:jc w:val="center"/>
              <w:rPr>
                <w:rFonts w:hint="eastAsia" w:ascii="Times New Roman" w:hAnsi="Times New Roman" w:eastAsia="宋体" w:cs="Times New Roman"/>
                <w:color w:val="000000"/>
                <w:kern w:val="0"/>
                <w:sz w:val="18"/>
                <w:szCs w:val="18"/>
                <w:lang w:val="en-US" w:eastAsia="zh-CN" w:bidi="ar-SA"/>
              </w:rPr>
            </w:pPr>
            <w:r>
              <w:rPr>
                <w:rFonts w:hint="eastAsia" w:ascii="Times New Roman" w:hAnsi="Times New Roman" w:eastAsia="宋体" w:cs="Times New Roman"/>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42" w:type="dxa"/>
            <w:vAlign w:val="center"/>
          </w:tcPr>
          <w:p>
            <w:pPr>
              <w:widowControl/>
              <w:snapToGrid w:val="0"/>
              <w:spacing w:line="360" w:lineRule="exact"/>
              <w:rPr>
                <w:color w:val="000000"/>
                <w:kern w:val="0"/>
                <w:szCs w:val="21"/>
              </w:rPr>
            </w:pPr>
            <w:r>
              <w:rPr>
                <w:color w:val="000000"/>
                <w:kern w:val="0"/>
                <w:szCs w:val="21"/>
              </w:rPr>
              <w:t>二、</w:t>
            </w:r>
            <w:r>
              <w:rPr>
                <w:rFonts w:hint="eastAsia"/>
                <w:color w:val="000000"/>
                <w:kern w:val="0"/>
                <w:szCs w:val="21"/>
              </w:rPr>
              <w:t>技术服务</w:t>
            </w:r>
            <w:r>
              <w:rPr>
                <w:color w:val="000000"/>
                <w:kern w:val="0"/>
                <w:szCs w:val="21"/>
              </w:rPr>
              <w:t>部分</w:t>
            </w:r>
          </w:p>
        </w:tc>
        <w:tc>
          <w:tcPr>
            <w:tcW w:w="779" w:type="dxa"/>
            <w:vAlign w:val="center"/>
          </w:tcPr>
          <w:p>
            <w:pPr>
              <w:pStyle w:val="28"/>
              <w:snapToGrid w:val="0"/>
              <w:spacing w:line="300" w:lineRule="exact"/>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7542" w:type="dxa"/>
            <w:vAlign w:val="center"/>
          </w:tcPr>
          <w:p>
            <w:pPr>
              <w:widowControl/>
              <w:adjustRightInd w:val="0"/>
              <w:snapToGrid w:val="0"/>
              <w:spacing w:line="360" w:lineRule="exact"/>
              <w:jc w:val="left"/>
              <w:rPr>
                <w:sz w:val="18"/>
                <w:szCs w:val="18"/>
              </w:rPr>
            </w:pPr>
            <w:r>
              <w:rPr>
                <w:sz w:val="18"/>
                <w:szCs w:val="18"/>
              </w:rPr>
              <w:t>1</w:t>
            </w:r>
            <w:r>
              <w:rPr>
                <w:rFonts w:hint="eastAsia"/>
                <w:sz w:val="18"/>
                <w:szCs w:val="18"/>
              </w:rPr>
              <w:t>.</w:t>
            </w:r>
            <w:r>
              <w:rPr>
                <w:rFonts w:hint="eastAsia" w:ascii="宋体" w:hAnsi="宋体"/>
                <w:color w:val="000000"/>
                <w:kern w:val="0"/>
                <w:sz w:val="18"/>
                <w:szCs w:val="18"/>
              </w:rPr>
              <w:t>抽样实施方案</w:t>
            </w:r>
          </w:p>
          <w:p>
            <w:pPr>
              <w:widowControl/>
              <w:adjustRightInd w:val="0"/>
              <w:snapToGrid w:val="0"/>
              <w:spacing w:line="360" w:lineRule="exact"/>
              <w:jc w:val="left"/>
              <w:rPr>
                <w:rFonts w:hint="eastAsia" w:ascii="宋体" w:hAnsi="宋体" w:cs="Times New Roman"/>
                <w:color w:val="000000"/>
                <w:kern w:val="0"/>
                <w:sz w:val="18"/>
                <w:szCs w:val="18"/>
              </w:rPr>
            </w:pPr>
            <w:r>
              <w:rPr>
                <w:rFonts w:hint="eastAsia" w:ascii="宋体" w:hAnsi="宋体" w:cs="Times New Roman"/>
                <w:color w:val="000000"/>
                <w:kern w:val="0"/>
                <w:sz w:val="18"/>
                <w:szCs w:val="18"/>
              </w:rPr>
              <w:t>供应商需提供抽样实施方案，实施方案中包括但不限于以下内容：双随机抽样实施办法、抽样布点、买样计划、覆盖率要求、监检结合、进度要求、均衡推进、质量控制等。</w:t>
            </w:r>
          </w:p>
          <w:p>
            <w:pPr>
              <w:widowControl/>
              <w:adjustRightInd w:val="0"/>
              <w:snapToGrid w:val="0"/>
              <w:spacing w:line="360" w:lineRule="exact"/>
              <w:jc w:val="left"/>
              <w:rPr>
                <w:rFonts w:hint="eastAsia" w:ascii="宋体" w:hAnsi="宋体" w:eastAsia="宋体" w:cs="Times New Roman"/>
                <w:color w:val="000000"/>
                <w:kern w:val="0"/>
                <w:sz w:val="18"/>
                <w:szCs w:val="18"/>
                <w:lang w:eastAsia="zh-CN"/>
              </w:rPr>
            </w:pPr>
            <w:r>
              <w:rPr>
                <w:rFonts w:hint="eastAsia" w:ascii="宋体" w:hAnsi="宋体" w:eastAsia="宋体" w:cs="Times New Roman"/>
                <w:color w:val="000000"/>
                <w:kern w:val="0"/>
                <w:sz w:val="18"/>
                <w:szCs w:val="18"/>
              </w:rPr>
              <w:t>磋商小组从实施方案的完整、合理、可行、针对性，能够很好完成服务任务，技术支持和重点难点分析深入切合实际，问题解决方案科学合理、可操作性等方面进行评审</w:t>
            </w:r>
            <w:r>
              <w:rPr>
                <w:rFonts w:hint="eastAsia" w:ascii="宋体" w:hAnsi="宋体" w:eastAsia="宋体" w:cs="Times New Roman"/>
                <w:color w:val="000000"/>
                <w:kern w:val="0"/>
                <w:sz w:val="18"/>
                <w:szCs w:val="18"/>
                <w:lang w:eastAsia="zh-CN"/>
              </w:rPr>
              <w:t>。</w:t>
            </w:r>
          </w:p>
          <w:p>
            <w:pPr>
              <w:widowControl/>
              <w:adjustRightInd w:val="0"/>
              <w:snapToGrid w:val="0"/>
              <w:spacing w:line="360" w:lineRule="exact"/>
              <w:jc w:val="left"/>
              <w:rPr>
                <w:color w:val="000000"/>
                <w:kern w:val="0"/>
                <w:szCs w:val="21"/>
              </w:rPr>
            </w:pPr>
            <w:r>
              <w:rPr>
                <w:rFonts w:hint="eastAsia" w:ascii="宋体" w:hAnsi="宋体" w:eastAsia="宋体" w:cs="Times New Roman"/>
                <w:color w:val="000000"/>
                <w:kern w:val="0"/>
                <w:sz w:val="18"/>
                <w:szCs w:val="18"/>
              </w:rPr>
              <w:t>完全满足磋商文件要求得10分；</w:t>
            </w:r>
            <w:r>
              <w:rPr>
                <w:rFonts w:hint="eastAsia" w:ascii="宋体" w:hAnsi="宋体" w:eastAsia="宋体" w:cs="Times New Roman"/>
                <w:color w:val="000000"/>
                <w:kern w:val="0"/>
                <w:sz w:val="18"/>
                <w:szCs w:val="18"/>
                <w:lang w:val="en-US" w:eastAsia="zh-CN"/>
              </w:rPr>
              <w:t>较为</w:t>
            </w:r>
            <w:r>
              <w:rPr>
                <w:rFonts w:hint="eastAsia" w:ascii="宋体" w:hAnsi="宋体" w:eastAsia="宋体" w:cs="Times New Roman"/>
                <w:color w:val="000000"/>
                <w:kern w:val="0"/>
                <w:sz w:val="18"/>
                <w:szCs w:val="18"/>
              </w:rPr>
              <w:t>满足磋商文件要求得8分；满足磋商文件要求得6分</w:t>
            </w:r>
            <w:r>
              <w:rPr>
                <w:rFonts w:hint="eastAsia" w:ascii="宋体" w:hAnsi="宋体" w:eastAsia="宋体" w:cs="Times New Roman"/>
                <w:color w:val="000000"/>
                <w:kern w:val="0"/>
                <w:sz w:val="18"/>
                <w:szCs w:val="18"/>
                <w:lang w:eastAsia="zh-CN"/>
              </w:rPr>
              <w:t>，</w:t>
            </w:r>
            <w:r>
              <w:rPr>
                <w:rFonts w:hint="eastAsia" w:ascii="宋体" w:hAnsi="宋体" w:eastAsia="宋体" w:cs="Times New Roman"/>
                <w:color w:val="000000"/>
                <w:kern w:val="0"/>
                <w:sz w:val="18"/>
                <w:szCs w:val="18"/>
              </w:rPr>
              <w:t>基本满足磋商文件要求得</w:t>
            </w:r>
            <w:r>
              <w:rPr>
                <w:rFonts w:hint="eastAsia" w:ascii="宋体" w:hAnsi="宋体" w:eastAsia="宋体" w:cs="Times New Roman"/>
                <w:color w:val="000000"/>
                <w:kern w:val="0"/>
                <w:sz w:val="18"/>
                <w:szCs w:val="18"/>
                <w:lang w:val="en-US" w:eastAsia="zh-CN"/>
              </w:rPr>
              <w:t>4</w:t>
            </w:r>
            <w:r>
              <w:rPr>
                <w:rFonts w:hint="eastAsia" w:ascii="宋体" w:hAnsi="宋体" w:eastAsia="宋体" w:cs="Times New Roman"/>
                <w:color w:val="000000"/>
                <w:kern w:val="0"/>
                <w:sz w:val="18"/>
                <w:szCs w:val="18"/>
              </w:rPr>
              <w:t>分</w:t>
            </w:r>
            <w:r>
              <w:rPr>
                <w:rFonts w:hint="eastAsia" w:ascii="宋体" w:hAnsi="宋体" w:eastAsia="宋体" w:cs="Times New Roman"/>
                <w:color w:val="000000"/>
                <w:kern w:val="0"/>
                <w:sz w:val="18"/>
                <w:szCs w:val="18"/>
                <w:lang w:eastAsia="zh-CN"/>
              </w:rPr>
              <w:t>，</w:t>
            </w:r>
            <w:r>
              <w:rPr>
                <w:rFonts w:hint="eastAsia" w:ascii="宋体" w:hAnsi="宋体" w:eastAsia="宋体" w:cs="Times New Roman"/>
                <w:color w:val="000000"/>
                <w:kern w:val="0"/>
                <w:sz w:val="18"/>
                <w:szCs w:val="18"/>
              </w:rPr>
              <w:t>未提供不得分。</w:t>
            </w:r>
          </w:p>
        </w:tc>
        <w:tc>
          <w:tcPr>
            <w:tcW w:w="779" w:type="dxa"/>
            <w:vAlign w:val="center"/>
          </w:tcPr>
          <w:p>
            <w:pPr>
              <w:pStyle w:val="28"/>
              <w:snapToGrid w:val="0"/>
              <w:spacing w:line="30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42" w:type="dxa"/>
            <w:vAlign w:val="center"/>
          </w:tcPr>
          <w:p>
            <w:pPr>
              <w:widowControl/>
              <w:adjustRightInd w:val="0"/>
              <w:snapToGrid w:val="0"/>
              <w:spacing w:line="360" w:lineRule="exact"/>
              <w:jc w:val="left"/>
              <w:rPr>
                <w:sz w:val="18"/>
                <w:szCs w:val="18"/>
              </w:rPr>
            </w:pPr>
            <w:r>
              <w:rPr>
                <w:rFonts w:hint="eastAsia"/>
                <w:sz w:val="18"/>
                <w:szCs w:val="18"/>
              </w:rPr>
              <w:t>2.运输、储存方案</w:t>
            </w:r>
          </w:p>
          <w:p>
            <w:pPr>
              <w:widowControl/>
              <w:adjustRightInd w:val="0"/>
              <w:snapToGrid w:val="0"/>
              <w:spacing w:line="360" w:lineRule="exact"/>
              <w:jc w:val="lef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供应商需提供运输、储存方案，方案中包括但不限于</w:t>
            </w:r>
            <w:r>
              <w:rPr>
                <w:rFonts w:hint="eastAsia" w:ascii="Times New Roman" w:hAnsi="Times New Roman" w:eastAsia="宋体" w:cs="Times New Roman"/>
                <w:sz w:val="18"/>
                <w:szCs w:val="18"/>
                <w:lang w:val="en-US" w:eastAsia="zh-CN"/>
              </w:rPr>
              <w:t>抽取</w:t>
            </w:r>
            <w:r>
              <w:rPr>
                <w:rFonts w:hint="eastAsia" w:ascii="Times New Roman" w:hAnsi="Times New Roman" w:eastAsia="宋体" w:cs="Times New Roman"/>
                <w:sz w:val="18"/>
                <w:szCs w:val="18"/>
              </w:rPr>
              <w:t>的样品配置相应的</w:t>
            </w:r>
            <w:r>
              <w:rPr>
                <w:rFonts w:hint="eastAsia" w:ascii="Times New Roman" w:hAnsi="Times New Roman" w:eastAsia="宋体" w:cs="Times New Roman"/>
                <w:sz w:val="18"/>
                <w:szCs w:val="18"/>
                <w:lang w:val="en-US" w:eastAsia="zh-CN"/>
              </w:rPr>
              <w:t>储存</w:t>
            </w:r>
            <w:r>
              <w:rPr>
                <w:rFonts w:hint="eastAsia" w:ascii="Times New Roman" w:hAnsi="Times New Roman" w:eastAsia="宋体" w:cs="Times New Roman"/>
                <w:sz w:val="18"/>
                <w:szCs w:val="18"/>
              </w:rPr>
              <w:t>设施设备，满足样品标签明示的储运条件</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lang w:val="en-US" w:eastAsia="zh-CN"/>
              </w:rPr>
              <w:t>运输</w:t>
            </w:r>
            <w:r>
              <w:rPr>
                <w:rFonts w:hint="eastAsia" w:ascii="Times New Roman" w:hAnsi="Times New Roman" w:eastAsia="宋体" w:cs="Times New Roman"/>
                <w:sz w:val="18"/>
                <w:szCs w:val="18"/>
              </w:rPr>
              <w:t>等内容。</w:t>
            </w:r>
          </w:p>
          <w:p>
            <w:pPr>
              <w:widowControl/>
              <w:adjustRightInd w:val="0"/>
              <w:snapToGrid w:val="0"/>
              <w:spacing w:line="360" w:lineRule="exact"/>
              <w:jc w:val="left"/>
              <w:rPr>
                <w:sz w:val="18"/>
                <w:szCs w:val="18"/>
              </w:rPr>
            </w:pPr>
            <w:r>
              <w:rPr>
                <w:rFonts w:hint="eastAsia" w:ascii="Times New Roman" w:hAnsi="Times New Roman" w:eastAsia="宋体" w:cs="Times New Roman"/>
                <w:sz w:val="18"/>
                <w:szCs w:val="18"/>
              </w:rPr>
              <w:t>磋商小组从方案的完整、合理、可行、针对性强，能很好的实现工作目标，可操作性等方面进行评审</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完全满足磋商文件要求得</w:t>
            </w:r>
            <w:r>
              <w:rPr>
                <w:rFonts w:hint="eastAsia" w:ascii="Times New Roman" w:hAnsi="Times New Roman" w:eastAsia="宋体" w:cs="Times New Roman"/>
                <w:sz w:val="18"/>
                <w:szCs w:val="18"/>
                <w:lang w:val="en-US" w:eastAsia="zh-CN"/>
              </w:rPr>
              <w:t>5</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val="en-US" w:eastAsia="zh-CN"/>
              </w:rPr>
              <w:t>较为</w:t>
            </w:r>
            <w:r>
              <w:rPr>
                <w:rFonts w:hint="eastAsia" w:ascii="Times New Roman" w:hAnsi="Times New Roman" w:eastAsia="宋体" w:cs="Times New Roman"/>
                <w:sz w:val="18"/>
                <w:szCs w:val="18"/>
              </w:rPr>
              <w:t>满足磋商文件要求得</w:t>
            </w:r>
            <w:r>
              <w:rPr>
                <w:rFonts w:hint="eastAsia" w:ascii="Times New Roman" w:hAnsi="Times New Roman" w:eastAsia="宋体" w:cs="Times New Roman"/>
                <w:sz w:val="18"/>
                <w:szCs w:val="18"/>
                <w:lang w:val="en-US" w:eastAsia="zh-CN"/>
              </w:rPr>
              <w:t>4</w:t>
            </w:r>
            <w:r>
              <w:rPr>
                <w:rFonts w:hint="eastAsia" w:ascii="Times New Roman" w:hAnsi="Times New Roman" w:eastAsia="宋体" w:cs="Times New Roman"/>
                <w:sz w:val="18"/>
                <w:szCs w:val="18"/>
              </w:rPr>
              <w:t>分；满足磋商文件要求得</w:t>
            </w:r>
            <w:r>
              <w:rPr>
                <w:rFonts w:hint="eastAsia" w:ascii="Times New Roman" w:hAnsi="Times New Roman" w:eastAsia="宋体" w:cs="Times New Roman"/>
                <w:sz w:val="18"/>
                <w:szCs w:val="18"/>
                <w:lang w:val="en-US" w:eastAsia="zh-CN"/>
              </w:rPr>
              <w:t>3</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基本满足磋商文件要求得</w:t>
            </w:r>
            <w:r>
              <w:rPr>
                <w:rFonts w:hint="eastAsia" w:ascii="Times New Roman" w:hAnsi="Times New Roman" w:eastAsia="宋体" w:cs="Times New Roman"/>
                <w:sz w:val="18"/>
                <w:szCs w:val="18"/>
                <w:lang w:val="en-US" w:eastAsia="zh-CN"/>
              </w:rPr>
              <w:t>2</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未提供不得分。</w:t>
            </w:r>
          </w:p>
        </w:tc>
        <w:tc>
          <w:tcPr>
            <w:tcW w:w="779" w:type="dxa"/>
            <w:vAlign w:val="center"/>
          </w:tcPr>
          <w:p>
            <w:pPr>
              <w:pStyle w:val="28"/>
              <w:snapToGrid w:val="0"/>
              <w:spacing w:line="30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42" w:type="dxa"/>
            <w:vAlign w:val="center"/>
          </w:tcPr>
          <w:p>
            <w:pPr>
              <w:widowControl/>
              <w:adjustRightInd w:val="0"/>
              <w:snapToGrid w:val="0"/>
              <w:spacing w:line="360" w:lineRule="exact"/>
              <w:jc w:val="left"/>
              <w:rPr>
                <w:sz w:val="18"/>
                <w:szCs w:val="18"/>
              </w:rPr>
            </w:pPr>
            <w:r>
              <w:rPr>
                <w:rFonts w:hint="eastAsia"/>
                <w:sz w:val="18"/>
                <w:szCs w:val="18"/>
              </w:rPr>
              <w:t>3.</w:t>
            </w:r>
            <w:r>
              <w:rPr>
                <w:rFonts w:hint="eastAsia" w:ascii="宋体" w:hAnsi="宋体"/>
                <w:color w:val="000000"/>
                <w:kern w:val="0"/>
                <w:sz w:val="18"/>
                <w:szCs w:val="18"/>
              </w:rPr>
              <w:t>检测实施方案</w:t>
            </w:r>
          </w:p>
          <w:p>
            <w:pPr>
              <w:widowControl/>
              <w:adjustRightInd w:val="0"/>
              <w:snapToGrid w:val="0"/>
              <w:spacing w:line="360" w:lineRule="exact"/>
              <w:jc w:val="left"/>
              <w:rPr>
                <w:rFonts w:ascii="宋体" w:hAnsi="宋体"/>
                <w:color w:val="000000"/>
                <w:kern w:val="0"/>
                <w:sz w:val="18"/>
                <w:szCs w:val="18"/>
              </w:rPr>
            </w:pPr>
            <w:r>
              <w:rPr>
                <w:rFonts w:hint="eastAsia"/>
                <w:color w:val="000000" w:themeColor="text1"/>
                <w:sz w:val="18"/>
                <w:szCs w:val="18"/>
                <w14:textFill>
                  <w14:solidFill>
                    <w14:schemeClr w14:val="tx1"/>
                  </w14:solidFill>
                </w14:textFill>
              </w:rPr>
              <w:t>供应商需提供</w:t>
            </w:r>
            <w:r>
              <w:rPr>
                <w:rFonts w:hint="eastAsia" w:ascii="宋体" w:hAnsi="宋体"/>
                <w:color w:val="000000"/>
                <w:kern w:val="0"/>
                <w:sz w:val="18"/>
                <w:szCs w:val="18"/>
              </w:rPr>
              <w:t>检测实施方案</w:t>
            </w:r>
            <w:r>
              <w:rPr>
                <w:rFonts w:hint="eastAsia"/>
                <w:color w:val="000000" w:themeColor="text1"/>
                <w:sz w:val="18"/>
                <w:szCs w:val="18"/>
                <w14:textFill>
                  <w14:solidFill>
                    <w14:schemeClr w14:val="tx1"/>
                  </w14:solidFill>
                </w14:textFill>
              </w:rPr>
              <w:t>，</w:t>
            </w:r>
            <w:r>
              <w:rPr>
                <w:rFonts w:hint="eastAsia"/>
                <w:sz w:val="18"/>
                <w:szCs w:val="18"/>
              </w:rPr>
              <w:t>方案</w:t>
            </w:r>
            <w:r>
              <w:rPr>
                <w:rFonts w:hint="eastAsia" w:ascii="宋体" w:hAnsi="宋体"/>
                <w:color w:val="000000"/>
                <w:kern w:val="0"/>
                <w:sz w:val="18"/>
                <w:szCs w:val="18"/>
              </w:rPr>
              <w:t>中包括但不限于专业的检测队伍，相应的设施设备，及配备专业的实验室等内容。</w:t>
            </w:r>
          </w:p>
          <w:p>
            <w:pPr>
              <w:widowControl/>
              <w:adjustRightInd w:val="0"/>
              <w:snapToGrid w:val="0"/>
              <w:spacing w:line="360" w:lineRule="exact"/>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磋商小组从</w:t>
            </w:r>
            <w:r>
              <w:rPr>
                <w:color w:val="000000" w:themeColor="text1"/>
                <w:sz w:val="18"/>
                <w:szCs w:val="18"/>
                <w14:textFill>
                  <w14:solidFill>
                    <w14:schemeClr w14:val="tx1"/>
                  </w14:solidFill>
                </w14:textFill>
              </w:rPr>
              <w:t>方案</w:t>
            </w:r>
            <w:r>
              <w:rPr>
                <w:rFonts w:hint="eastAsia"/>
                <w:color w:val="000000" w:themeColor="text1"/>
                <w:sz w:val="18"/>
                <w:szCs w:val="18"/>
                <w14:textFill>
                  <w14:solidFill>
                    <w14:schemeClr w14:val="tx1"/>
                  </w14:solidFill>
                </w14:textFill>
              </w:rPr>
              <w:t>的</w:t>
            </w:r>
            <w:r>
              <w:rPr>
                <w:color w:val="000000" w:themeColor="text1"/>
                <w:sz w:val="18"/>
                <w:szCs w:val="18"/>
                <w14:textFill>
                  <w14:solidFill>
                    <w14:schemeClr w14:val="tx1"/>
                  </w14:solidFill>
                </w14:textFill>
              </w:rPr>
              <w:t>完整、合理、可行、针对性强，</w:t>
            </w:r>
            <w:r>
              <w:rPr>
                <w:rFonts w:hint="eastAsia"/>
                <w:color w:val="000000" w:themeColor="text1"/>
                <w:sz w:val="18"/>
                <w:szCs w:val="18"/>
                <w14:textFill>
                  <w14:solidFill>
                    <w14:schemeClr w14:val="tx1"/>
                  </w14:solidFill>
                </w14:textFill>
              </w:rPr>
              <w:t>能很好的实现工作目标</w:t>
            </w:r>
            <w:r>
              <w:rPr>
                <w:color w:val="000000" w:themeColor="text1"/>
                <w:sz w:val="18"/>
                <w:szCs w:val="18"/>
                <w14:textFill>
                  <w14:solidFill>
                    <w14:schemeClr w14:val="tx1"/>
                  </w14:solidFill>
                </w14:textFill>
              </w:rPr>
              <w:t>，可操作性</w:t>
            </w:r>
            <w:r>
              <w:rPr>
                <w:rFonts w:hint="eastAsia"/>
                <w:color w:val="000000" w:themeColor="text1"/>
                <w:sz w:val="18"/>
                <w:szCs w:val="18"/>
                <w14:textFill>
                  <w14:solidFill>
                    <w14:schemeClr w14:val="tx1"/>
                  </w14:solidFill>
                </w14:textFill>
              </w:rPr>
              <w:t>等方面进行评审</w:t>
            </w:r>
            <w:r>
              <w:rPr>
                <w:rFonts w:hint="eastAsia"/>
                <w:color w:val="000000" w:themeColor="text1"/>
                <w:sz w:val="18"/>
                <w:szCs w:val="18"/>
                <w:lang w:eastAsia="zh-CN"/>
                <w14:textFill>
                  <w14:solidFill>
                    <w14:schemeClr w14:val="tx1"/>
                  </w14:solidFill>
                </w14:textFill>
              </w:rPr>
              <w:t>。</w:t>
            </w:r>
            <w:r>
              <w:rPr>
                <w:rFonts w:hint="eastAsia" w:ascii="宋体" w:hAnsi="宋体" w:eastAsia="宋体" w:cs="Times New Roman"/>
                <w:color w:val="000000"/>
                <w:kern w:val="0"/>
                <w:sz w:val="18"/>
                <w:szCs w:val="18"/>
              </w:rPr>
              <w:t>完全满足磋商文件要求得10分；</w:t>
            </w:r>
            <w:r>
              <w:rPr>
                <w:rFonts w:hint="eastAsia" w:ascii="宋体" w:hAnsi="宋体" w:eastAsia="宋体" w:cs="Times New Roman"/>
                <w:color w:val="000000"/>
                <w:kern w:val="0"/>
                <w:sz w:val="18"/>
                <w:szCs w:val="18"/>
                <w:lang w:val="en-US" w:eastAsia="zh-CN"/>
              </w:rPr>
              <w:t>较为</w:t>
            </w:r>
            <w:r>
              <w:rPr>
                <w:rFonts w:hint="eastAsia" w:ascii="宋体" w:hAnsi="宋体" w:eastAsia="宋体" w:cs="Times New Roman"/>
                <w:color w:val="000000"/>
                <w:kern w:val="0"/>
                <w:sz w:val="18"/>
                <w:szCs w:val="18"/>
              </w:rPr>
              <w:t>满足磋商文件要求得8分；满足磋商文件要求得6分</w:t>
            </w:r>
            <w:r>
              <w:rPr>
                <w:rFonts w:hint="eastAsia" w:ascii="宋体" w:hAnsi="宋体" w:eastAsia="宋体" w:cs="Times New Roman"/>
                <w:color w:val="000000"/>
                <w:kern w:val="0"/>
                <w:sz w:val="18"/>
                <w:szCs w:val="18"/>
                <w:lang w:eastAsia="zh-CN"/>
              </w:rPr>
              <w:t>，</w:t>
            </w:r>
            <w:r>
              <w:rPr>
                <w:rFonts w:hint="eastAsia" w:ascii="宋体" w:hAnsi="宋体" w:eastAsia="宋体" w:cs="Times New Roman"/>
                <w:color w:val="000000"/>
                <w:kern w:val="0"/>
                <w:sz w:val="18"/>
                <w:szCs w:val="18"/>
              </w:rPr>
              <w:t>基本满足磋商文件要求得</w:t>
            </w:r>
            <w:r>
              <w:rPr>
                <w:rFonts w:hint="eastAsia" w:ascii="宋体" w:hAnsi="宋体" w:eastAsia="宋体" w:cs="Times New Roman"/>
                <w:color w:val="000000"/>
                <w:kern w:val="0"/>
                <w:sz w:val="18"/>
                <w:szCs w:val="18"/>
                <w:lang w:val="en-US" w:eastAsia="zh-CN"/>
              </w:rPr>
              <w:t>4</w:t>
            </w:r>
            <w:r>
              <w:rPr>
                <w:rFonts w:hint="eastAsia" w:ascii="宋体" w:hAnsi="宋体" w:eastAsia="宋体" w:cs="Times New Roman"/>
                <w:color w:val="000000"/>
                <w:kern w:val="0"/>
                <w:sz w:val="18"/>
                <w:szCs w:val="18"/>
              </w:rPr>
              <w:t>分</w:t>
            </w:r>
            <w:r>
              <w:rPr>
                <w:rFonts w:hint="eastAsia" w:ascii="宋体" w:hAnsi="宋体" w:eastAsia="宋体" w:cs="Times New Roman"/>
                <w:color w:val="000000"/>
                <w:kern w:val="0"/>
                <w:sz w:val="18"/>
                <w:szCs w:val="18"/>
                <w:lang w:eastAsia="zh-CN"/>
              </w:rPr>
              <w:t>，</w:t>
            </w:r>
            <w:r>
              <w:rPr>
                <w:rFonts w:hint="eastAsia" w:ascii="宋体" w:hAnsi="宋体" w:eastAsia="宋体" w:cs="Times New Roman"/>
                <w:color w:val="000000"/>
                <w:kern w:val="0"/>
                <w:sz w:val="18"/>
                <w:szCs w:val="18"/>
              </w:rPr>
              <w:t>未提供不得分。</w:t>
            </w:r>
          </w:p>
        </w:tc>
        <w:tc>
          <w:tcPr>
            <w:tcW w:w="779" w:type="dxa"/>
            <w:vAlign w:val="center"/>
          </w:tcPr>
          <w:p>
            <w:pPr>
              <w:pStyle w:val="28"/>
              <w:snapToGrid w:val="0"/>
              <w:spacing w:line="300" w:lineRule="exact"/>
              <w:jc w:val="cente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42" w:type="dxa"/>
            <w:vAlign w:val="center"/>
          </w:tcPr>
          <w:p>
            <w:pPr>
              <w:widowControl/>
              <w:adjustRightInd w:val="0"/>
              <w:snapToGrid w:val="0"/>
              <w:spacing w:line="360" w:lineRule="exact"/>
              <w:jc w:val="left"/>
              <w:rPr>
                <w:sz w:val="18"/>
                <w:szCs w:val="18"/>
              </w:rPr>
            </w:pPr>
            <w:r>
              <w:rPr>
                <w:rFonts w:hint="eastAsia"/>
                <w:sz w:val="18"/>
                <w:szCs w:val="18"/>
              </w:rPr>
              <w:t>4.</w:t>
            </w:r>
            <w:r>
              <w:rPr>
                <w:rFonts w:hint="eastAsia" w:ascii="宋体" w:hAnsi="宋体"/>
                <w:color w:val="000000"/>
                <w:kern w:val="0"/>
                <w:sz w:val="18"/>
                <w:szCs w:val="18"/>
              </w:rPr>
              <w:t>档案管理方案</w:t>
            </w:r>
          </w:p>
          <w:p>
            <w:pPr>
              <w:widowControl/>
              <w:adjustRightInd w:val="0"/>
              <w:snapToGrid w:val="0"/>
              <w:spacing w:line="360" w:lineRule="exact"/>
              <w:jc w:val="left"/>
              <w:rPr>
                <w:rFonts w:ascii="宋体" w:hAnsi="宋体"/>
                <w:color w:val="000000"/>
                <w:kern w:val="0"/>
                <w:sz w:val="18"/>
                <w:szCs w:val="18"/>
              </w:rPr>
            </w:pPr>
            <w:r>
              <w:rPr>
                <w:rFonts w:hint="eastAsia"/>
                <w:color w:val="000000" w:themeColor="text1"/>
                <w:sz w:val="18"/>
                <w:szCs w:val="18"/>
                <w14:textFill>
                  <w14:solidFill>
                    <w14:schemeClr w14:val="tx1"/>
                  </w14:solidFill>
                </w14:textFill>
              </w:rPr>
              <w:t>供应商需提供</w:t>
            </w:r>
            <w:r>
              <w:rPr>
                <w:rFonts w:hint="eastAsia" w:ascii="宋体" w:hAnsi="宋体"/>
                <w:color w:val="000000"/>
                <w:kern w:val="0"/>
                <w:sz w:val="18"/>
                <w:szCs w:val="18"/>
              </w:rPr>
              <w:t>档案管理方案</w:t>
            </w:r>
            <w:r>
              <w:rPr>
                <w:rFonts w:hint="eastAsia"/>
                <w:color w:val="000000" w:themeColor="text1"/>
                <w:sz w:val="18"/>
                <w:szCs w:val="18"/>
                <w14:textFill>
                  <w14:solidFill>
                    <w14:schemeClr w14:val="tx1"/>
                  </w14:solidFill>
                </w14:textFill>
              </w:rPr>
              <w:t>，</w:t>
            </w:r>
            <w:r>
              <w:rPr>
                <w:rFonts w:hint="eastAsia"/>
                <w:sz w:val="18"/>
                <w:szCs w:val="18"/>
              </w:rPr>
              <w:t>方案</w:t>
            </w:r>
            <w:r>
              <w:rPr>
                <w:rFonts w:hint="eastAsia" w:ascii="宋体" w:hAnsi="宋体"/>
                <w:color w:val="000000"/>
                <w:kern w:val="0"/>
                <w:sz w:val="18"/>
                <w:szCs w:val="18"/>
              </w:rPr>
              <w:t>中包括但不限于具备填报信息系统的固定专业人员，能提供将检验结果填报信息系统的设施设备、专业人员及工作质量考评制度,能够完成食品安全抽检监测数据上报、汇总以及结果分析工作等内容。</w:t>
            </w:r>
          </w:p>
          <w:p>
            <w:pPr>
              <w:widowControl/>
              <w:adjustRightInd w:val="0"/>
              <w:snapToGrid w:val="0"/>
              <w:spacing w:line="360" w:lineRule="exact"/>
              <w:jc w:val="left"/>
              <w:rPr>
                <w:color w:val="000000"/>
                <w:kern w:val="0"/>
                <w:szCs w:val="21"/>
              </w:rPr>
            </w:pPr>
            <w:r>
              <w:rPr>
                <w:rFonts w:hint="eastAsia"/>
                <w:color w:val="000000" w:themeColor="text1"/>
                <w:sz w:val="18"/>
                <w:szCs w:val="18"/>
                <w14:textFill>
                  <w14:solidFill>
                    <w14:schemeClr w14:val="tx1"/>
                  </w14:solidFill>
                </w14:textFill>
              </w:rPr>
              <w:t>磋商小组从</w:t>
            </w:r>
            <w:r>
              <w:rPr>
                <w:color w:val="000000" w:themeColor="text1"/>
                <w:sz w:val="18"/>
                <w:szCs w:val="18"/>
                <w14:textFill>
                  <w14:solidFill>
                    <w14:schemeClr w14:val="tx1"/>
                  </w14:solidFill>
                </w14:textFill>
              </w:rPr>
              <w:t>方案</w:t>
            </w:r>
            <w:r>
              <w:rPr>
                <w:rFonts w:hint="eastAsia"/>
                <w:color w:val="000000" w:themeColor="text1"/>
                <w:sz w:val="18"/>
                <w:szCs w:val="18"/>
                <w14:textFill>
                  <w14:solidFill>
                    <w14:schemeClr w14:val="tx1"/>
                  </w14:solidFill>
                </w14:textFill>
              </w:rPr>
              <w:t>的</w:t>
            </w:r>
            <w:r>
              <w:rPr>
                <w:color w:val="000000" w:themeColor="text1"/>
                <w:sz w:val="18"/>
                <w:szCs w:val="18"/>
                <w14:textFill>
                  <w14:solidFill>
                    <w14:schemeClr w14:val="tx1"/>
                  </w14:solidFill>
                </w14:textFill>
              </w:rPr>
              <w:t>完整、合理、可行、针对性强，</w:t>
            </w:r>
            <w:r>
              <w:rPr>
                <w:rFonts w:hint="eastAsia"/>
                <w:color w:val="000000" w:themeColor="text1"/>
                <w:sz w:val="18"/>
                <w:szCs w:val="18"/>
                <w14:textFill>
                  <w14:solidFill>
                    <w14:schemeClr w14:val="tx1"/>
                  </w14:solidFill>
                </w14:textFill>
              </w:rPr>
              <w:t>能很好的实现工作目标</w:t>
            </w:r>
            <w:r>
              <w:rPr>
                <w:color w:val="000000" w:themeColor="text1"/>
                <w:sz w:val="18"/>
                <w:szCs w:val="18"/>
                <w14:textFill>
                  <w14:solidFill>
                    <w14:schemeClr w14:val="tx1"/>
                  </w14:solidFill>
                </w14:textFill>
              </w:rPr>
              <w:t>，可操作性</w:t>
            </w:r>
            <w:r>
              <w:rPr>
                <w:rFonts w:hint="eastAsia"/>
                <w:color w:val="000000" w:themeColor="text1"/>
                <w:sz w:val="18"/>
                <w:szCs w:val="18"/>
                <w14:textFill>
                  <w14:solidFill>
                    <w14:schemeClr w14:val="tx1"/>
                  </w14:solidFill>
                </w14:textFill>
              </w:rPr>
              <w:t>等方面进行评审。</w:t>
            </w:r>
            <w:r>
              <w:rPr>
                <w:rFonts w:hint="eastAsia" w:ascii="Times New Roman" w:hAnsi="Times New Roman" w:eastAsia="宋体" w:cs="Times New Roman"/>
                <w:sz w:val="18"/>
                <w:szCs w:val="18"/>
              </w:rPr>
              <w:t>完全满足磋商文件要求得</w:t>
            </w:r>
            <w:r>
              <w:rPr>
                <w:rFonts w:hint="eastAsia" w:cs="Times New Roman"/>
                <w:sz w:val="18"/>
                <w:szCs w:val="18"/>
                <w:lang w:val="en-US" w:eastAsia="zh-CN"/>
              </w:rPr>
              <w:t>4</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val="en-US" w:eastAsia="zh-CN"/>
              </w:rPr>
              <w:t>较为</w:t>
            </w:r>
            <w:r>
              <w:rPr>
                <w:rFonts w:hint="eastAsia" w:ascii="Times New Roman" w:hAnsi="Times New Roman" w:eastAsia="宋体" w:cs="Times New Roman"/>
                <w:sz w:val="18"/>
                <w:szCs w:val="18"/>
              </w:rPr>
              <w:t>满足磋商文件要求得</w:t>
            </w:r>
            <w:r>
              <w:rPr>
                <w:rFonts w:hint="eastAsia" w:cs="Times New Roman"/>
                <w:sz w:val="18"/>
                <w:szCs w:val="18"/>
                <w:lang w:val="en-US" w:eastAsia="zh-CN"/>
              </w:rPr>
              <w:t>3</w:t>
            </w:r>
            <w:r>
              <w:rPr>
                <w:rFonts w:hint="eastAsia" w:ascii="Times New Roman" w:hAnsi="Times New Roman" w:eastAsia="宋体" w:cs="Times New Roman"/>
                <w:sz w:val="18"/>
                <w:szCs w:val="18"/>
              </w:rPr>
              <w:t>分；满足磋商文件要求得</w:t>
            </w:r>
            <w:r>
              <w:rPr>
                <w:rFonts w:hint="eastAsia" w:cs="Times New Roman"/>
                <w:sz w:val="18"/>
                <w:szCs w:val="18"/>
                <w:lang w:val="en-US" w:eastAsia="zh-CN"/>
              </w:rPr>
              <w:t>2</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基本满足磋商文件要求得</w:t>
            </w:r>
            <w:r>
              <w:rPr>
                <w:rFonts w:hint="eastAsia" w:cs="Times New Roman"/>
                <w:sz w:val="18"/>
                <w:szCs w:val="18"/>
                <w:lang w:val="en-US" w:eastAsia="zh-CN"/>
              </w:rPr>
              <w:t>1</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未提供不得分。</w:t>
            </w:r>
          </w:p>
        </w:tc>
        <w:tc>
          <w:tcPr>
            <w:tcW w:w="779" w:type="dxa"/>
            <w:vAlign w:val="center"/>
          </w:tcPr>
          <w:p>
            <w:pPr>
              <w:pStyle w:val="28"/>
              <w:snapToGrid w:val="0"/>
              <w:spacing w:line="300" w:lineRule="exact"/>
              <w:jc w:val="center"/>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42" w:type="dxa"/>
            <w:vAlign w:val="center"/>
          </w:tcPr>
          <w:p>
            <w:pPr>
              <w:widowControl/>
              <w:adjustRightInd w:val="0"/>
              <w:snapToGrid w:val="0"/>
              <w:spacing w:line="360" w:lineRule="exact"/>
              <w:jc w:val="left"/>
              <w:rPr>
                <w:sz w:val="18"/>
                <w:szCs w:val="18"/>
              </w:rPr>
            </w:pPr>
            <w:r>
              <w:rPr>
                <w:rFonts w:hint="eastAsia"/>
                <w:sz w:val="18"/>
                <w:szCs w:val="18"/>
              </w:rPr>
              <w:t>5.</w:t>
            </w:r>
            <w:r>
              <w:rPr>
                <w:rFonts w:hint="eastAsia" w:ascii="宋体" w:hAnsi="宋体"/>
                <w:color w:val="000000"/>
                <w:kern w:val="0"/>
                <w:sz w:val="18"/>
                <w:szCs w:val="18"/>
              </w:rPr>
              <w:t>保密制度和措施</w:t>
            </w:r>
          </w:p>
          <w:p>
            <w:pPr>
              <w:widowControl/>
              <w:adjustRightInd w:val="0"/>
              <w:snapToGrid w:val="0"/>
              <w:spacing w:line="360" w:lineRule="exact"/>
              <w:jc w:val="left"/>
              <w:rPr>
                <w:rFonts w:ascii="宋体" w:hAnsi="宋体"/>
                <w:color w:val="000000"/>
                <w:kern w:val="0"/>
                <w:sz w:val="18"/>
                <w:szCs w:val="18"/>
              </w:rPr>
            </w:pPr>
            <w:r>
              <w:rPr>
                <w:rFonts w:hint="eastAsia"/>
                <w:color w:val="000000" w:themeColor="text1"/>
                <w:sz w:val="18"/>
                <w:szCs w:val="18"/>
                <w14:textFill>
                  <w14:solidFill>
                    <w14:schemeClr w14:val="tx1"/>
                  </w14:solidFill>
                </w14:textFill>
              </w:rPr>
              <w:t>供应商需提供</w:t>
            </w:r>
            <w:r>
              <w:rPr>
                <w:rFonts w:hint="eastAsia" w:ascii="宋体" w:hAnsi="宋体"/>
                <w:color w:val="000000"/>
                <w:kern w:val="0"/>
                <w:sz w:val="18"/>
                <w:szCs w:val="18"/>
              </w:rPr>
              <w:t>保密制度和措施</w:t>
            </w:r>
            <w:r>
              <w:rPr>
                <w:rFonts w:hint="eastAsia"/>
                <w:color w:val="000000" w:themeColor="text1"/>
                <w:sz w:val="18"/>
                <w:szCs w:val="18"/>
                <w14:textFill>
                  <w14:solidFill>
                    <w14:schemeClr w14:val="tx1"/>
                  </w14:solidFill>
                </w14:textFill>
              </w:rPr>
              <w:t>，</w:t>
            </w:r>
            <w:r>
              <w:rPr>
                <w:rFonts w:hint="eastAsia"/>
                <w:sz w:val="18"/>
                <w:szCs w:val="18"/>
              </w:rPr>
              <w:t>其中</w:t>
            </w:r>
            <w:r>
              <w:rPr>
                <w:rFonts w:hint="eastAsia" w:ascii="宋体" w:hAnsi="宋体"/>
                <w:color w:val="000000"/>
                <w:kern w:val="0"/>
                <w:sz w:val="18"/>
                <w:szCs w:val="18"/>
              </w:rPr>
              <w:t>包括但不限于对抽检数据及企业信息保密，不得泄露、擅自使用或对外发布食品抽检结果等内容。</w:t>
            </w:r>
          </w:p>
          <w:p>
            <w:pPr>
              <w:widowControl/>
              <w:adjustRightInd w:val="0"/>
              <w:snapToGrid w:val="0"/>
              <w:spacing w:line="360" w:lineRule="exact"/>
              <w:jc w:val="left"/>
              <w:rPr>
                <w:color w:val="000000"/>
                <w:kern w:val="0"/>
                <w:szCs w:val="21"/>
              </w:rPr>
            </w:pPr>
            <w:r>
              <w:rPr>
                <w:rFonts w:hint="eastAsia"/>
                <w:color w:val="000000" w:themeColor="text1"/>
                <w:sz w:val="18"/>
                <w:szCs w:val="18"/>
                <w14:textFill>
                  <w14:solidFill>
                    <w14:schemeClr w14:val="tx1"/>
                  </w14:solidFill>
                </w14:textFill>
              </w:rPr>
              <w:t>磋商小组从</w:t>
            </w:r>
            <w:r>
              <w:rPr>
                <w:rFonts w:hint="eastAsia" w:ascii="宋体" w:hAnsi="宋体"/>
                <w:color w:val="000000"/>
                <w:kern w:val="0"/>
                <w:sz w:val="18"/>
                <w:szCs w:val="18"/>
              </w:rPr>
              <w:t>制度和措施</w:t>
            </w:r>
            <w:r>
              <w:rPr>
                <w:rFonts w:hint="eastAsia"/>
                <w:color w:val="000000" w:themeColor="text1"/>
                <w:sz w:val="18"/>
                <w:szCs w:val="18"/>
                <w14:textFill>
                  <w14:solidFill>
                    <w14:schemeClr w14:val="tx1"/>
                  </w14:solidFill>
                </w14:textFill>
              </w:rPr>
              <w:t>的</w:t>
            </w:r>
            <w:r>
              <w:rPr>
                <w:color w:val="000000" w:themeColor="text1"/>
                <w:sz w:val="18"/>
                <w:szCs w:val="18"/>
                <w14:textFill>
                  <w14:solidFill>
                    <w14:schemeClr w14:val="tx1"/>
                  </w14:solidFill>
                </w14:textFill>
              </w:rPr>
              <w:t>完整、合理、可行、针对性强，</w:t>
            </w:r>
            <w:r>
              <w:rPr>
                <w:rFonts w:hint="eastAsia"/>
                <w:color w:val="000000" w:themeColor="text1"/>
                <w:sz w:val="18"/>
                <w:szCs w:val="18"/>
                <w14:textFill>
                  <w14:solidFill>
                    <w14:schemeClr w14:val="tx1"/>
                  </w14:solidFill>
                </w14:textFill>
              </w:rPr>
              <w:t>能很好的实现工作目标</w:t>
            </w:r>
            <w:r>
              <w:rPr>
                <w:color w:val="000000" w:themeColor="text1"/>
                <w:sz w:val="18"/>
                <w:szCs w:val="18"/>
                <w14:textFill>
                  <w14:solidFill>
                    <w14:schemeClr w14:val="tx1"/>
                  </w14:solidFill>
                </w14:textFill>
              </w:rPr>
              <w:t>，可操作性强</w:t>
            </w:r>
            <w:r>
              <w:rPr>
                <w:rFonts w:hint="eastAsia"/>
                <w:color w:val="000000" w:themeColor="text1"/>
                <w:sz w:val="18"/>
                <w:szCs w:val="18"/>
                <w14:textFill>
                  <w14:solidFill>
                    <w14:schemeClr w14:val="tx1"/>
                  </w14:solidFill>
                </w14:textFill>
              </w:rPr>
              <w:t>等方面进行评审。</w:t>
            </w:r>
            <w:r>
              <w:rPr>
                <w:rFonts w:hint="eastAsia" w:ascii="Times New Roman" w:hAnsi="Times New Roman" w:eastAsia="宋体" w:cs="Times New Roman"/>
                <w:sz w:val="18"/>
                <w:szCs w:val="18"/>
              </w:rPr>
              <w:t>完全满足磋商文件要求得</w:t>
            </w:r>
            <w:r>
              <w:rPr>
                <w:rFonts w:hint="eastAsia" w:ascii="Times New Roman" w:hAnsi="Times New Roman" w:eastAsia="宋体" w:cs="Times New Roman"/>
                <w:sz w:val="18"/>
                <w:szCs w:val="18"/>
                <w:lang w:val="en-US" w:eastAsia="zh-CN"/>
              </w:rPr>
              <w:t>5</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val="en-US" w:eastAsia="zh-CN"/>
              </w:rPr>
              <w:t>较为</w:t>
            </w:r>
            <w:r>
              <w:rPr>
                <w:rFonts w:hint="eastAsia" w:ascii="Times New Roman" w:hAnsi="Times New Roman" w:eastAsia="宋体" w:cs="Times New Roman"/>
                <w:sz w:val="18"/>
                <w:szCs w:val="18"/>
              </w:rPr>
              <w:t>满足磋商文件要求得</w:t>
            </w:r>
            <w:r>
              <w:rPr>
                <w:rFonts w:hint="eastAsia" w:ascii="Times New Roman" w:hAnsi="Times New Roman" w:eastAsia="宋体" w:cs="Times New Roman"/>
                <w:sz w:val="18"/>
                <w:szCs w:val="18"/>
                <w:lang w:val="en-US" w:eastAsia="zh-CN"/>
              </w:rPr>
              <w:t>4</w:t>
            </w:r>
            <w:r>
              <w:rPr>
                <w:rFonts w:hint="eastAsia" w:ascii="Times New Roman" w:hAnsi="Times New Roman" w:eastAsia="宋体" w:cs="Times New Roman"/>
                <w:sz w:val="18"/>
                <w:szCs w:val="18"/>
              </w:rPr>
              <w:t>分；满足磋商文件要求得</w:t>
            </w:r>
            <w:r>
              <w:rPr>
                <w:rFonts w:hint="eastAsia" w:ascii="Times New Roman" w:hAnsi="Times New Roman" w:eastAsia="宋体" w:cs="Times New Roman"/>
                <w:sz w:val="18"/>
                <w:szCs w:val="18"/>
                <w:lang w:val="en-US" w:eastAsia="zh-CN"/>
              </w:rPr>
              <w:t>3</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基本满足磋商文件要求得</w:t>
            </w:r>
            <w:r>
              <w:rPr>
                <w:rFonts w:hint="eastAsia" w:ascii="Times New Roman" w:hAnsi="Times New Roman" w:eastAsia="宋体" w:cs="Times New Roman"/>
                <w:sz w:val="18"/>
                <w:szCs w:val="18"/>
                <w:lang w:val="en-US" w:eastAsia="zh-CN"/>
              </w:rPr>
              <w:t>2</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未提供不得分。</w:t>
            </w:r>
          </w:p>
        </w:tc>
        <w:tc>
          <w:tcPr>
            <w:tcW w:w="779" w:type="dxa"/>
            <w:vAlign w:val="center"/>
          </w:tcPr>
          <w:p>
            <w:pPr>
              <w:pStyle w:val="28"/>
              <w:snapToGrid w:val="0"/>
              <w:spacing w:line="300" w:lineRule="exact"/>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542" w:type="dxa"/>
            <w:vAlign w:val="center"/>
          </w:tcPr>
          <w:p>
            <w:pPr>
              <w:widowControl/>
              <w:adjustRightInd w:val="0"/>
              <w:snapToGrid w:val="0"/>
              <w:spacing w:line="360" w:lineRule="exact"/>
              <w:jc w:val="left"/>
              <w:rPr>
                <w:sz w:val="18"/>
                <w:szCs w:val="18"/>
              </w:rPr>
            </w:pPr>
            <w:r>
              <w:rPr>
                <w:rFonts w:hint="eastAsia"/>
                <w:sz w:val="18"/>
                <w:szCs w:val="18"/>
              </w:rPr>
              <w:t>6.</w:t>
            </w:r>
            <w:r>
              <w:rPr>
                <w:sz w:val="18"/>
                <w:szCs w:val="18"/>
              </w:rPr>
              <w:t>服务保障承诺</w:t>
            </w:r>
          </w:p>
          <w:p>
            <w:pPr>
              <w:widowControl/>
              <w:adjustRightInd w:val="0"/>
              <w:snapToGrid w:val="0"/>
              <w:spacing w:line="360" w:lineRule="exact"/>
              <w:jc w:val="left"/>
              <w:rPr>
                <w:rFonts w:hint="eastAsia"/>
                <w:color w:val="000000" w:themeColor="text1"/>
                <w:sz w:val="18"/>
                <w:szCs w:val="18"/>
                <w14:textFill>
                  <w14:solidFill>
                    <w14:schemeClr w14:val="tx1"/>
                  </w14:solidFill>
                </w14:textFill>
              </w:rPr>
            </w:pPr>
            <w:r>
              <w:rPr>
                <w:sz w:val="18"/>
                <w:szCs w:val="18"/>
              </w:rPr>
              <w:t>针对本项目检测任务的质量保证承诺、售后服务承诺，</w:t>
            </w:r>
            <w:r>
              <w:rPr>
                <w:rFonts w:hint="eastAsia"/>
                <w:sz w:val="18"/>
                <w:szCs w:val="18"/>
              </w:rPr>
              <w:t>供应商</w:t>
            </w:r>
            <w:r>
              <w:rPr>
                <w:sz w:val="18"/>
                <w:szCs w:val="18"/>
              </w:rPr>
              <w:t>提供的咨询、食品安全风险评估及对本次项目重视程度等全方位服务承诺及措施，</w:t>
            </w:r>
            <w:r>
              <w:rPr>
                <w:rFonts w:hint="eastAsia"/>
                <w:sz w:val="18"/>
                <w:szCs w:val="18"/>
              </w:rPr>
              <w:t>磋商小组</w:t>
            </w:r>
            <w:r>
              <w:rPr>
                <w:sz w:val="18"/>
                <w:szCs w:val="18"/>
              </w:rPr>
              <w:t>根据承诺的内容</w:t>
            </w:r>
            <w:r>
              <w:rPr>
                <w:rFonts w:hint="eastAsia"/>
                <w:sz w:val="18"/>
                <w:szCs w:val="18"/>
              </w:rPr>
              <w:t>进行评审</w:t>
            </w:r>
            <w:r>
              <w:rPr>
                <w:rFonts w:hint="eastAsia"/>
                <w:color w:val="000000" w:themeColor="text1"/>
                <w:sz w:val="18"/>
                <w:szCs w:val="18"/>
                <w14:textFill>
                  <w14:solidFill>
                    <w14:schemeClr w14:val="tx1"/>
                  </w14:solidFill>
                </w14:textFill>
              </w:rPr>
              <w:t>。</w:t>
            </w:r>
          </w:p>
          <w:p>
            <w:pPr>
              <w:widowControl/>
              <w:adjustRightInd w:val="0"/>
              <w:snapToGrid w:val="0"/>
              <w:spacing w:line="360" w:lineRule="exact"/>
              <w:jc w:val="left"/>
              <w:rPr>
                <w:sz w:val="18"/>
                <w:szCs w:val="18"/>
              </w:rPr>
            </w:pPr>
            <w:r>
              <w:rPr>
                <w:rFonts w:hint="eastAsia" w:ascii="Times New Roman" w:hAnsi="Times New Roman" w:eastAsia="宋体" w:cs="Times New Roman"/>
                <w:sz w:val="18"/>
                <w:szCs w:val="18"/>
              </w:rPr>
              <w:t>完全满足磋商文件要求得</w:t>
            </w:r>
            <w:r>
              <w:rPr>
                <w:rFonts w:hint="eastAsia" w:cs="Times New Roman"/>
                <w:sz w:val="18"/>
                <w:szCs w:val="18"/>
                <w:lang w:val="en-US" w:eastAsia="zh-CN"/>
              </w:rPr>
              <w:t>8</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val="en-US" w:eastAsia="zh-CN"/>
              </w:rPr>
              <w:t>较为</w:t>
            </w:r>
            <w:r>
              <w:rPr>
                <w:rFonts w:hint="eastAsia" w:ascii="Times New Roman" w:hAnsi="Times New Roman" w:eastAsia="宋体" w:cs="Times New Roman"/>
                <w:sz w:val="18"/>
                <w:szCs w:val="18"/>
              </w:rPr>
              <w:t>满足磋商文件要求得</w:t>
            </w:r>
            <w:r>
              <w:rPr>
                <w:rFonts w:hint="eastAsia" w:cs="Times New Roman"/>
                <w:sz w:val="18"/>
                <w:szCs w:val="18"/>
                <w:lang w:val="en-US" w:eastAsia="zh-CN"/>
              </w:rPr>
              <w:t>6</w:t>
            </w:r>
            <w:r>
              <w:rPr>
                <w:rFonts w:hint="eastAsia" w:ascii="Times New Roman" w:hAnsi="Times New Roman" w:eastAsia="宋体" w:cs="Times New Roman"/>
                <w:sz w:val="18"/>
                <w:szCs w:val="18"/>
              </w:rPr>
              <w:t>分；满足磋商文件要求得</w:t>
            </w:r>
            <w:r>
              <w:rPr>
                <w:rFonts w:hint="eastAsia" w:cs="Times New Roman"/>
                <w:sz w:val="18"/>
                <w:szCs w:val="18"/>
                <w:lang w:val="en-US" w:eastAsia="zh-CN"/>
              </w:rPr>
              <w:t>4</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基本满足磋商文件要求得</w:t>
            </w:r>
            <w:r>
              <w:rPr>
                <w:rFonts w:hint="eastAsia" w:ascii="Times New Roman" w:hAnsi="Times New Roman" w:eastAsia="宋体" w:cs="Times New Roman"/>
                <w:sz w:val="18"/>
                <w:szCs w:val="18"/>
                <w:lang w:val="en-US" w:eastAsia="zh-CN"/>
              </w:rPr>
              <w:t>2</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未提供不得分。</w:t>
            </w:r>
          </w:p>
        </w:tc>
        <w:tc>
          <w:tcPr>
            <w:tcW w:w="779" w:type="dxa"/>
            <w:vAlign w:val="center"/>
          </w:tcPr>
          <w:p>
            <w:pPr>
              <w:pStyle w:val="28"/>
              <w:snapToGrid w:val="0"/>
              <w:spacing w:line="300" w:lineRule="exact"/>
              <w:jc w:val="center"/>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542" w:type="dxa"/>
            <w:vAlign w:val="center"/>
          </w:tcPr>
          <w:p>
            <w:pPr>
              <w:widowControl/>
              <w:adjustRightInd w:val="0"/>
              <w:snapToGrid w:val="0"/>
              <w:spacing w:line="360" w:lineRule="exact"/>
              <w:jc w:val="left"/>
              <w:rPr>
                <w:sz w:val="18"/>
                <w:szCs w:val="18"/>
              </w:rPr>
            </w:pPr>
            <w:r>
              <w:rPr>
                <w:rFonts w:hint="eastAsia"/>
                <w:sz w:val="18"/>
                <w:szCs w:val="18"/>
              </w:rPr>
              <w:t>7.应急预案</w:t>
            </w:r>
          </w:p>
          <w:p>
            <w:pPr>
              <w:widowControl/>
              <w:adjustRightInd w:val="0"/>
              <w:snapToGrid w:val="0"/>
              <w:spacing w:line="360" w:lineRule="exact"/>
              <w:jc w:val="left"/>
              <w:rPr>
                <w:sz w:val="18"/>
                <w:szCs w:val="18"/>
              </w:rPr>
            </w:pPr>
            <w:r>
              <w:rPr>
                <w:rFonts w:hint="eastAsia"/>
                <w:sz w:val="18"/>
                <w:szCs w:val="18"/>
              </w:rPr>
              <w:t>供应商</w:t>
            </w:r>
            <w:r>
              <w:rPr>
                <w:rFonts w:hint="eastAsia"/>
                <w:sz w:val="18"/>
                <w:szCs w:val="18"/>
                <w:lang w:val="en-US" w:eastAsia="zh-CN"/>
              </w:rPr>
              <w:t>需</w:t>
            </w:r>
            <w:r>
              <w:rPr>
                <w:rFonts w:hint="eastAsia"/>
                <w:sz w:val="18"/>
                <w:szCs w:val="18"/>
              </w:rPr>
              <w:t>提供应急预案，应急预案包含针对可能出现的各项突发情况，如食品安全事件、自然灾害、运输车辆遭遇堵车或车祸等情况，设置应对措施，磋商小组</w:t>
            </w:r>
            <w:r>
              <w:rPr>
                <w:sz w:val="18"/>
                <w:szCs w:val="18"/>
              </w:rPr>
              <w:t>根据</w:t>
            </w:r>
            <w:r>
              <w:rPr>
                <w:rFonts w:hint="eastAsia"/>
                <w:sz w:val="18"/>
                <w:szCs w:val="18"/>
              </w:rPr>
              <w:t>应急预案</w:t>
            </w:r>
            <w:r>
              <w:rPr>
                <w:sz w:val="18"/>
                <w:szCs w:val="18"/>
              </w:rPr>
              <w:t>的内容</w:t>
            </w:r>
            <w:r>
              <w:rPr>
                <w:rFonts w:hint="eastAsia"/>
                <w:sz w:val="18"/>
                <w:szCs w:val="18"/>
              </w:rPr>
              <w:t>进行评审</w:t>
            </w:r>
            <w:r>
              <w:rPr>
                <w:rFonts w:hint="eastAsia"/>
                <w:color w:val="000000" w:themeColor="text1"/>
                <w:sz w:val="18"/>
                <w:szCs w:val="18"/>
                <w14:textFill>
                  <w14:solidFill>
                    <w14:schemeClr w14:val="tx1"/>
                  </w14:solidFill>
                </w14:textFill>
              </w:rPr>
              <w:t>。</w:t>
            </w:r>
            <w:r>
              <w:rPr>
                <w:rFonts w:hint="eastAsia" w:ascii="Times New Roman" w:hAnsi="Times New Roman" w:eastAsia="宋体" w:cs="Times New Roman"/>
                <w:sz w:val="18"/>
                <w:szCs w:val="18"/>
              </w:rPr>
              <w:t>完全满足磋商文件要求得</w:t>
            </w:r>
            <w:r>
              <w:rPr>
                <w:rFonts w:hint="eastAsia" w:cs="Times New Roman"/>
                <w:sz w:val="18"/>
                <w:szCs w:val="18"/>
                <w:lang w:val="en-US" w:eastAsia="zh-CN"/>
              </w:rPr>
              <w:t>8</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val="en-US" w:eastAsia="zh-CN"/>
              </w:rPr>
              <w:t>较为</w:t>
            </w:r>
            <w:r>
              <w:rPr>
                <w:rFonts w:hint="eastAsia" w:ascii="Times New Roman" w:hAnsi="Times New Roman" w:eastAsia="宋体" w:cs="Times New Roman"/>
                <w:sz w:val="18"/>
                <w:szCs w:val="18"/>
              </w:rPr>
              <w:t>满足磋商文件要求得</w:t>
            </w:r>
            <w:r>
              <w:rPr>
                <w:rFonts w:hint="eastAsia" w:cs="Times New Roman"/>
                <w:sz w:val="18"/>
                <w:szCs w:val="18"/>
                <w:lang w:val="en-US" w:eastAsia="zh-CN"/>
              </w:rPr>
              <w:t>6</w:t>
            </w:r>
            <w:r>
              <w:rPr>
                <w:rFonts w:hint="eastAsia" w:ascii="Times New Roman" w:hAnsi="Times New Roman" w:eastAsia="宋体" w:cs="Times New Roman"/>
                <w:sz w:val="18"/>
                <w:szCs w:val="18"/>
              </w:rPr>
              <w:t>分；满足磋商文件要求得</w:t>
            </w:r>
            <w:r>
              <w:rPr>
                <w:rFonts w:hint="eastAsia" w:cs="Times New Roman"/>
                <w:sz w:val="18"/>
                <w:szCs w:val="18"/>
                <w:lang w:val="en-US" w:eastAsia="zh-CN"/>
              </w:rPr>
              <w:t>4</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基本满足磋商文件要求得</w:t>
            </w:r>
            <w:r>
              <w:rPr>
                <w:rFonts w:hint="eastAsia" w:ascii="Times New Roman" w:hAnsi="Times New Roman" w:eastAsia="宋体" w:cs="Times New Roman"/>
                <w:sz w:val="18"/>
                <w:szCs w:val="18"/>
                <w:lang w:val="en-US" w:eastAsia="zh-CN"/>
              </w:rPr>
              <w:t>2</w:t>
            </w:r>
            <w:r>
              <w:rPr>
                <w:rFonts w:hint="eastAsia" w:ascii="Times New Roman" w:hAnsi="Times New Roman" w:eastAsia="宋体" w:cs="Times New Roman"/>
                <w:sz w:val="18"/>
                <w:szCs w:val="18"/>
              </w:rPr>
              <w:t>分</w:t>
            </w:r>
            <w:r>
              <w:rPr>
                <w:rFonts w:hint="eastAsia" w:ascii="Times New Roman" w:hAnsi="Times New Roman" w:eastAsia="宋体" w:cs="Times New Roman"/>
                <w:sz w:val="18"/>
                <w:szCs w:val="18"/>
                <w:lang w:eastAsia="zh-CN"/>
              </w:rPr>
              <w:t>，</w:t>
            </w:r>
            <w:r>
              <w:rPr>
                <w:rFonts w:hint="eastAsia" w:ascii="Times New Roman" w:hAnsi="Times New Roman" w:eastAsia="宋体" w:cs="Times New Roman"/>
                <w:sz w:val="18"/>
                <w:szCs w:val="18"/>
              </w:rPr>
              <w:t>未提供不得分。</w:t>
            </w:r>
          </w:p>
        </w:tc>
        <w:tc>
          <w:tcPr>
            <w:tcW w:w="779" w:type="dxa"/>
            <w:vAlign w:val="center"/>
          </w:tcPr>
          <w:p>
            <w:pPr>
              <w:widowControl/>
              <w:adjustRightInd w:val="0"/>
              <w:snapToGrid w:val="0"/>
              <w:spacing w:line="360" w:lineRule="exact"/>
              <w:jc w:val="center"/>
              <w:rPr>
                <w:rFonts w:hint="eastAsia" w:eastAsia="宋体"/>
                <w:sz w:val="18"/>
                <w:szCs w:val="18"/>
                <w:lang w:eastAsia="zh-CN"/>
              </w:rPr>
            </w:pPr>
            <w:r>
              <w:rPr>
                <w:rFonts w:hint="eastAsia"/>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2" w:type="dxa"/>
            <w:vAlign w:val="center"/>
          </w:tcPr>
          <w:p>
            <w:pPr>
              <w:widowControl/>
              <w:adjustRightInd w:val="0"/>
              <w:snapToGrid w:val="0"/>
              <w:spacing w:line="360" w:lineRule="exact"/>
              <w:jc w:val="left"/>
              <w:rPr>
                <w:rFonts w:hint="eastAsia"/>
                <w:sz w:val="18"/>
                <w:szCs w:val="18"/>
              </w:rPr>
            </w:pPr>
            <w:r>
              <w:rPr>
                <w:rFonts w:hint="eastAsia"/>
                <w:sz w:val="18"/>
                <w:szCs w:val="18"/>
              </w:rPr>
              <w:t>三、价格部分</w:t>
            </w:r>
          </w:p>
        </w:tc>
        <w:tc>
          <w:tcPr>
            <w:tcW w:w="779" w:type="dxa"/>
            <w:vAlign w:val="center"/>
          </w:tcPr>
          <w:p>
            <w:pPr>
              <w:widowControl/>
              <w:adjustRightInd w:val="0"/>
              <w:snapToGrid w:val="0"/>
              <w:spacing w:line="360" w:lineRule="exact"/>
              <w:jc w:val="center"/>
              <w:rPr>
                <w:rFonts w:hint="eastAsia"/>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542" w:type="dxa"/>
            <w:vAlign w:val="center"/>
          </w:tcPr>
          <w:p>
            <w:pPr>
              <w:widowControl/>
              <w:adjustRightInd w:val="0"/>
              <w:snapToGrid w:val="0"/>
              <w:spacing w:line="360" w:lineRule="exact"/>
              <w:jc w:val="left"/>
              <w:rPr>
                <w:rFonts w:hint="eastAsia" w:hAnsi="宋体"/>
                <w:kern w:val="0"/>
                <w:sz w:val="18"/>
                <w:szCs w:val="18"/>
              </w:rPr>
            </w:pPr>
            <w:r>
              <w:rPr>
                <w:rFonts w:hint="eastAsia" w:hAnsi="宋体"/>
                <w:kern w:val="0"/>
                <w:sz w:val="18"/>
                <w:szCs w:val="18"/>
              </w:rPr>
              <w:t>满足磋商文件要求且价格最低的报价为评标基准价，其价格分为满分。其他供应商的价格分统一按照下列公式计算：</w:t>
            </w:r>
          </w:p>
          <w:p>
            <w:pPr>
              <w:widowControl/>
              <w:adjustRightInd w:val="0"/>
              <w:snapToGrid w:val="0"/>
              <w:spacing w:line="360" w:lineRule="exact"/>
              <w:jc w:val="left"/>
              <w:rPr>
                <w:rFonts w:hint="eastAsia" w:hAnsi="宋体"/>
                <w:kern w:val="0"/>
                <w:sz w:val="18"/>
                <w:szCs w:val="18"/>
              </w:rPr>
            </w:pPr>
            <w:r>
              <w:rPr>
                <w:rFonts w:hint="eastAsia" w:hAnsi="宋体"/>
                <w:kern w:val="0"/>
                <w:sz w:val="18"/>
                <w:szCs w:val="18"/>
              </w:rPr>
              <w:t>投标报价得分=（评标基准价／投标报价）×10%×100</w:t>
            </w:r>
          </w:p>
          <w:p>
            <w:pPr>
              <w:widowControl/>
              <w:adjustRightInd w:val="0"/>
              <w:snapToGrid w:val="0"/>
              <w:spacing w:line="360" w:lineRule="exact"/>
              <w:jc w:val="left"/>
              <w:rPr>
                <w:rFonts w:hint="eastAsia" w:hAnsi="宋体"/>
                <w:kern w:val="0"/>
                <w:sz w:val="18"/>
                <w:szCs w:val="18"/>
              </w:rPr>
            </w:pPr>
            <w:r>
              <w:rPr>
                <w:rFonts w:hint="eastAsia" w:hAnsi="宋体"/>
                <w:kern w:val="0"/>
                <w:sz w:val="18"/>
                <w:szCs w:val="18"/>
              </w:rPr>
              <w:t>1.未实质性响应磋商文件的供应商的报价不参与报价得分的计算。</w:t>
            </w:r>
          </w:p>
          <w:p>
            <w:pPr>
              <w:widowControl/>
              <w:adjustRightInd w:val="0"/>
              <w:snapToGrid w:val="0"/>
              <w:spacing w:line="360" w:lineRule="exact"/>
              <w:jc w:val="left"/>
              <w:rPr>
                <w:rFonts w:hint="eastAsia" w:hAnsi="宋体"/>
                <w:kern w:val="0"/>
                <w:sz w:val="18"/>
                <w:szCs w:val="18"/>
              </w:rPr>
            </w:pPr>
            <w:r>
              <w:rPr>
                <w:rFonts w:hint="eastAsia" w:hAnsi="宋体"/>
                <w:kern w:val="0"/>
                <w:sz w:val="18"/>
                <w:szCs w:val="18"/>
              </w:rPr>
              <w:t>2.根据《政府采购促进中小企业发展管理办法》和《关于促进残疾人就业政府采购政策的通知》中有关规定，对符合政策要求的供应商在价格评分时按照磋商文件规定执行。</w:t>
            </w:r>
          </w:p>
          <w:p>
            <w:pPr>
              <w:widowControl/>
              <w:adjustRightInd w:val="0"/>
              <w:snapToGrid w:val="0"/>
              <w:spacing w:line="360" w:lineRule="exact"/>
              <w:jc w:val="left"/>
              <w:rPr>
                <w:rFonts w:hint="eastAsia" w:hAnsi="宋体"/>
                <w:kern w:val="0"/>
                <w:sz w:val="18"/>
                <w:szCs w:val="18"/>
              </w:rPr>
            </w:pPr>
            <w:r>
              <w:rPr>
                <w:rFonts w:hint="eastAsia" w:hAnsi="宋体"/>
                <w:kern w:val="0"/>
                <w:sz w:val="18"/>
                <w:szCs w:val="18"/>
              </w:rPr>
              <w:t>3.磋商小组认为供应商报价明显低于其他通过符合性审查供应商的报价，有可能影响服务质量或者不能诚信履约的，有权要求该供应商在1小时内提供书面说明和必要的证明材料交由专家审核，审核通过后予以认可；如供应商不能证明其报价的合理性或磋商小组对书面材料说明审核不通过则视为报价无效。</w:t>
            </w:r>
          </w:p>
          <w:p>
            <w:pPr>
              <w:widowControl/>
              <w:adjustRightInd w:val="0"/>
              <w:snapToGrid w:val="0"/>
              <w:spacing w:line="360" w:lineRule="exact"/>
              <w:jc w:val="left"/>
              <w:rPr>
                <w:rFonts w:hint="eastAsia" w:hAnsi="宋体"/>
                <w:kern w:val="0"/>
                <w:sz w:val="18"/>
                <w:szCs w:val="18"/>
              </w:rPr>
            </w:pPr>
            <w:r>
              <w:rPr>
                <w:rFonts w:hint="eastAsia" w:hAnsi="宋体"/>
                <w:kern w:val="0"/>
                <w:sz w:val="18"/>
                <w:szCs w:val="18"/>
              </w:rPr>
              <w:t>4.本项目专门面向中小企业，价格打分时不考虑价格折算。</w:t>
            </w:r>
          </w:p>
        </w:tc>
        <w:tc>
          <w:tcPr>
            <w:tcW w:w="779" w:type="dxa"/>
            <w:vAlign w:val="center"/>
          </w:tcPr>
          <w:p>
            <w:pPr>
              <w:widowControl/>
              <w:adjustRightInd w:val="0"/>
              <w:snapToGrid w:val="0"/>
              <w:spacing w:line="360" w:lineRule="exact"/>
              <w:jc w:val="center"/>
              <w:rPr>
                <w:rFonts w:hint="eastAsia" w:hAnsi="宋体"/>
                <w:kern w:val="0"/>
                <w:sz w:val="18"/>
                <w:szCs w:val="18"/>
              </w:rPr>
            </w:pPr>
            <w:r>
              <w:rPr>
                <w:rFonts w:hint="eastAsia" w:hAnsi="宋体"/>
                <w:kern w:val="0"/>
                <w:sz w:val="18"/>
                <w:szCs w:val="18"/>
              </w:rPr>
              <w:t>10</w:t>
            </w:r>
          </w:p>
        </w:tc>
      </w:tr>
    </w:tbl>
    <w:p>
      <w:pPr>
        <w:widowControl/>
        <w:tabs>
          <w:tab w:val="left" w:pos="720"/>
        </w:tabs>
        <w:snapToGrid w:val="0"/>
        <w:spacing w:line="360" w:lineRule="auto"/>
        <w:jc w:val="left"/>
        <w:rPr>
          <w:color w:val="000000"/>
          <w:kern w:val="0"/>
          <w:sz w:val="24"/>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529" w:type="dxa"/>
            <w:vAlign w:val="center"/>
          </w:tcPr>
          <w:p>
            <w:r>
              <w:t>政策因素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tcPr>
          <w:p>
            <w:pPr>
              <w:widowControl/>
              <w:adjustRightInd w:val="0"/>
              <w:snapToGrid w:val="0"/>
              <w:spacing w:line="400" w:lineRule="exact"/>
              <w:jc w:val="left"/>
            </w:pPr>
            <w:r>
              <w:t>1、小型、微型企业参加本项目磋商</w:t>
            </w:r>
          </w:p>
          <w:p>
            <w:pPr>
              <w:widowControl/>
              <w:adjustRightInd w:val="0"/>
              <w:snapToGrid w:val="0"/>
              <w:spacing w:line="400" w:lineRule="exact"/>
              <w:jc w:val="left"/>
            </w:pPr>
            <w:r>
              <w:t>（1）按照工信部联【2011】300号《中小企业划型标准规定》的标准如实填写《中小企业声明函》（格式见第五部分），监狱企业参加磋商视同小微企业，提供由省级以上监狱管理局、戒毒管理局出具的属于监狱企业的证明文件。</w:t>
            </w:r>
          </w:p>
          <w:p>
            <w:pPr>
              <w:widowControl/>
              <w:adjustRightInd w:val="0"/>
              <w:snapToGrid w:val="0"/>
              <w:spacing w:line="400" w:lineRule="exact"/>
              <w:jc w:val="left"/>
            </w:pPr>
            <w:r>
              <w:t>（2）小、微企业只有提供本企业的服务，享受15%的价格折扣。</w:t>
            </w:r>
          </w:p>
          <w:p>
            <w:pPr>
              <w:widowControl/>
              <w:adjustRightInd w:val="0"/>
              <w:snapToGrid w:val="0"/>
              <w:spacing w:line="400" w:lineRule="exact"/>
              <w:jc w:val="left"/>
            </w:pPr>
            <w:r>
              <w:t>2、残疾人福利性单位参加本项目磋商：</w:t>
            </w:r>
          </w:p>
          <w:p>
            <w:pPr>
              <w:widowControl/>
              <w:adjustRightInd w:val="0"/>
              <w:snapToGrid w:val="0"/>
              <w:spacing w:line="400" w:lineRule="exact"/>
              <w:jc w:val="left"/>
            </w:pPr>
            <w:r>
              <w:t>（1）根据财库【2017】141号《关于促进残疾人就业政府采购政策的通知》的要求，如实填写残疾人福利性单位声明函（格式见第五部分）。残疾人福利性单位参加本项目磋商时，享受6%的价格折扣，用扣除后的价格参与评审。</w:t>
            </w:r>
          </w:p>
          <w:p>
            <w:pPr>
              <w:widowControl/>
              <w:adjustRightInd w:val="0"/>
              <w:snapToGrid w:val="0"/>
              <w:spacing w:line="400" w:lineRule="exact"/>
              <w:jc w:val="left"/>
            </w:pPr>
            <w:r>
              <w:t>（2）供应商提供的《残疾人福利性单位声明函》与事实不符的，依照《政府采购法》第七十七条第一款的规定追究法律责任。</w:t>
            </w:r>
          </w:p>
          <w:p>
            <w:pPr>
              <w:widowControl/>
              <w:adjustRightInd w:val="0"/>
              <w:snapToGrid w:val="0"/>
              <w:spacing w:line="400" w:lineRule="exact"/>
              <w:jc w:val="left"/>
            </w:pPr>
            <w:r>
              <w:t>（3）残疾人福利性单位提供本企业制造的货物或者提供的服务，或者提供其他残疾人福利性单位制造的货物或者提供的服务，享受货物或服务6%的价格折扣。</w:t>
            </w:r>
          </w:p>
          <w:p>
            <w:pPr>
              <w:widowControl/>
              <w:adjustRightInd w:val="0"/>
              <w:snapToGrid w:val="0"/>
              <w:spacing w:line="400" w:lineRule="exact"/>
              <w:jc w:val="left"/>
            </w:pPr>
            <w:r>
              <w:t>注：残疾人福利性单位属于小型、微型企业的，不重复享受政策。</w:t>
            </w:r>
          </w:p>
          <w:p>
            <w:pPr>
              <w:widowControl/>
              <w:adjustRightInd w:val="0"/>
              <w:snapToGrid w:val="0"/>
              <w:spacing w:line="400" w:lineRule="exact"/>
              <w:jc w:val="left"/>
            </w:pPr>
            <w:r>
              <w:t>享受政府采购支持政策的残疾人福利性单位应当同时满足以下条件：</w:t>
            </w:r>
          </w:p>
          <w:p>
            <w:pPr>
              <w:widowControl/>
              <w:adjustRightInd w:val="0"/>
              <w:snapToGrid w:val="0"/>
              <w:spacing w:line="400" w:lineRule="exact"/>
              <w:jc w:val="left"/>
            </w:pPr>
            <w:r>
              <w:t>A.安置的残疾人占本单位在职职工人数的比例不低于25%（含25%），并且安置的残疾人人数不少于10人（含10人）。</w:t>
            </w:r>
          </w:p>
          <w:p>
            <w:pPr>
              <w:widowControl/>
              <w:adjustRightInd w:val="0"/>
              <w:snapToGrid w:val="0"/>
              <w:spacing w:line="400" w:lineRule="exact"/>
              <w:jc w:val="left"/>
            </w:pPr>
            <w:r>
              <w:t>B.依法与安置的每位残疾人签订了一年以上（含一年）的劳动合同或服务协议。</w:t>
            </w:r>
          </w:p>
          <w:p>
            <w:pPr>
              <w:widowControl/>
              <w:adjustRightInd w:val="0"/>
              <w:snapToGrid w:val="0"/>
              <w:spacing w:line="400" w:lineRule="exact"/>
              <w:jc w:val="left"/>
            </w:pPr>
            <w:r>
              <w:t>C.为安置的每位残疾人按月足额缴纳了基本养老保险、基本医疗保险、失业保险、工伤保险和生育保险等社会保险费。</w:t>
            </w:r>
          </w:p>
          <w:p>
            <w:pPr>
              <w:widowControl/>
              <w:adjustRightInd w:val="0"/>
              <w:snapToGrid w:val="0"/>
              <w:spacing w:line="400" w:lineRule="exact"/>
              <w:jc w:val="left"/>
            </w:pPr>
            <w:r>
              <w:t>D.通过银行等金融机构向安置的每位残疾人，按月支付了不低于单位所在区县适用的经省级人民政府批准的月最低工资标准的工资。</w:t>
            </w:r>
          </w:p>
          <w:p>
            <w:pPr>
              <w:widowControl/>
              <w:adjustRightInd w:val="0"/>
              <w:snapToGrid w:val="0"/>
              <w:spacing w:line="400" w:lineRule="exact"/>
              <w:jc w:val="left"/>
            </w:pPr>
            <w:r>
              <w:t>E．提供本单位制造的货物、承担的工程或者服务（以下简称产品），或者提供其他残疾人福利性单位制造的货物（不包括使用非残疾人福利性单位注册商标的货物）。</w:t>
            </w:r>
          </w:p>
          <w:p>
            <w:pPr>
              <w:widowControl/>
              <w:adjustRightInd w:val="0"/>
              <w:snapToGrid w:val="0"/>
              <w:spacing w:line="400" w:lineRule="exact"/>
              <w:jc w:val="left"/>
            </w:pPr>
            <w: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adjustRightInd w:val="0"/>
              <w:snapToGrid w:val="0"/>
              <w:spacing w:line="400" w:lineRule="exact"/>
              <w:jc w:val="left"/>
            </w:pPr>
            <w:r>
              <w:t>3、依据《财政部司法部关于政府采购支持监狱企业发展有关问题的通知》（财库〔2014〕68号）规定，监狱企业视同小型、微型企业，享受预留份额、评审中价格扣除等政府采购促进中小企业发展的政府采购政策。本项目供应商属于监狱企业的，货物或服务价格给6％的扣除，用扣除后的价格参与评审。</w:t>
            </w:r>
          </w:p>
          <w:p>
            <w:pPr>
              <w:widowControl/>
              <w:adjustRightInd w:val="0"/>
              <w:snapToGrid w:val="0"/>
              <w:spacing w:line="400" w:lineRule="exact"/>
              <w:jc w:val="left"/>
            </w:pPr>
            <w:r>
              <w:t>注：</w:t>
            </w:r>
          </w:p>
          <w:p>
            <w:pPr>
              <w:widowControl/>
              <w:adjustRightInd w:val="0"/>
              <w:snapToGrid w:val="0"/>
              <w:spacing w:line="400" w:lineRule="exact"/>
              <w:jc w:val="left"/>
            </w:pPr>
            <w:r>
              <w:t>1.监狱企业又属于小型、微型企业的，不重复享受政策。</w:t>
            </w:r>
          </w:p>
          <w:p>
            <w:pPr>
              <w:widowControl/>
              <w:adjustRightInd w:val="0"/>
              <w:snapToGrid w:val="0"/>
              <w:spacing w:line="400" w:lineRule="exact"/>
              <w:jc w:val="left"/>
            </w:pPr>
            <w:r>
              <w:t>2.监狱企业证明文件［如有。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tc>
      </w:tr>
    </w:tbl>
    <w:p/>
    <w:p>
      <w:pPr>
        <w:widowControl/>
        <w:snapToGrid w:val="0"/>
        <w:spacing w:line="360" w:lineRule="auto"/>
        <w:jc w:val="left"/>
        <w:rPr>
          <w:color w:val="000000"/>
          <w:kern w:val="0"/>
          <w:sz w:val="24"/>
        </w:rPr>
      </w:pPr>
    </w:p>
    <w:p>
      <w:pPr>
        <w:widowControl/>
        <w:tabs>
          <w:tab w:val="left" w:pos="540"/>
        </w:tabs>
        <w:snapToGrid w:val="0"/>
        <w:spacing w:line="360" w:lineRule="auto"/>
        <w:ind w:firstLine="480" w:firstLineChars="200"/>
        <w:jc w:val="left"/>
        <w:rPr>
          <w:color w:val="000000"/>
          <w:kern w:val="0"/>
          <w:sz w:val="24"/>
        </w:rPr>
      </w:pPr>
      <w:r>
        <w:rPr>
          <w:color w:val="000000"/>
          <w:kern w:val="0"/>
          <w:sz w:val="24"/>
        </w:rPr>
        <w:t>21.确定成交候选人</w:t>
      </w:r>
    </w:p>
    <w:p>
      <w:pPr>
        <w:widowControl/>
        <w:snapToGrid w:val="0"/>
        <w:spacing w:line="360" w:lineRule="auto"/>
        <w:ind w:firstLine="480" w:firstLineChars="200"/>
        <w:jc w:val="left"/>
        <w:rPr>
          <w:color w:val="000000"/>
          <w:kern w:val="0"/>
          <w:sz w:val="24"/>
        </w:rPr>
      </w:pPr>
      <w:r>
        <w:rPr>
          <w:color w:val="000000"/>
          <w:kern w:val="0"/>
          <w:sz w:val="24"/>
        </w:rPr>
        <w:t>21.1磋商小组应当根据综合评分情况，按照汇总得分由高到低顺序推荐三名成交候选供应商或者直接确定成交供应商，并编写评审报告。汇总得分相同的，按照技术、服务打分之和由高到低顺序推荐，技术、服务打分之和相同的，按照最后报价由低到高的顺序推荐。</w:t>
      </w:r>
    </w:p>
    <w:p>
      <w:pPr>
        <w:widowControl/>
        <w:snapToGrid w:val="0"/>
        <w:spacing w:line="360" w:lineRule="auto"/>
        <w:ind w:firstLine="480" w:firstLineChars="200"/>
        <w:jc w:val="left"/>
        <w:rPr>
          <w:color w:val="000000"/>
          <w:kern w:val="0"/>
          <w:sz w:val="24"/>
        </w:rPr>
      </w:pPr>
      <w:r>
        <w:rPr>
          <w:color w:val="000000"/>
          <w:kern w:val="0"/>
          <w:sz w:val="24"/>
        </w:rPr>
        <w:t>21.2评审结束后磋商小组应编制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widowControl/>
        <w:tabs>
          <w:tab w:val="left" w:pos="851"/>
        </w:tabs>
        <w:snapToGrid w:val="0"/>
        <w:spacing w:line="360" w:lineRule="auto"/>
        <w:ind w:firstLine="480" w:firstLineChars="200"/>
        <w:jc w:val="left"/>
        <w:rPr>
          <w:color w:val="000000"/>
          <w:kern w:val="0"/>
          <w:sz w:val="24"/>
        </w:rPr>
      </w:pPr>
      <w:r>
        <w:rPr>
          <w:color w:val="000000"/>
          <w:kern w:val="0"/>
          <w:sz w:val="24"/>
        </w:rPr>
        <w:t>21.3采购代理机构应当在评审结束后2个工作日内将评审报告送采购人确认。</w:t>
      </w:r>
    </w:p>
    <w:p>
      <w:pPr>
        <w:widowControl/>
        <w:snapToGrid w:val="0"/>
        <w:spacing w:line="360" w:lineRule="auto"/>
        <w:ind w:firstLine="480" w:firstLineChars="200"/>
        <w:jc w:val="left"/>
        <w:rPr>
          <w:color w:val="000000"/>
          <w:kern w:val="0"/>
          <w:sz w:val="24"/>
        </w:rPr>
      </w:pPr>
      <w:r>
        <w:rPr>
          <w:color w:val="000000"/>
          <w:kern w:val="0"/>
          <w:sz w:val="24"/>
        </w:rPr>
        <w:t>21.4采购人应当在收到评审报告后5个工作日内，从评审报告提出的成交候选供应商中，按照排序由高到低的原则确定成交供应商，也可以授权磋商小组直接确定成交供应商。采购人逾期未确定成交供应商且不提出异议的，视为确定评审报告提出的排序第一的供应商为成交供应商。</w:t>
      </w:r>
    </w:p>
    <w:p>
      <w:pPr>
        <w:widowControl/>
        <w:snapToGrid w:val="0"/>
        <w:spacing w:line="360" w:lineRule="auto"/>
        <w:ind w:firstLine="482" w:firstLineChars="200"/>
        <w:jc w:val="left"/>
        <w:rPr>
          <w:b/>
          <w:bCs/>
          <w:color w:val="000000"/>
          <w:kern w:val="0"/>
          <w:sz w:val="24"/>
        </w:rPr>
      </w:pPr>
      <w:r>
        <w:rPr>
          <w:b/>
          <w:bCs/>
          <w:color w:val="000000"/>
          <w:kern w:val="0"/>
          <w:sz w:val="24"/>
        </w:rPr>
        <w:t>22.磋商过程保密</w:t>
      </w:r>
    </w:p>
    <w:p>
      <w:pPr>
        <w:widowControl/>
        <w:snapToGrid w:val="0"/>
        <w:spacing w:line="360" w:lineRule="auto"/>
        <w:ind w:firstLine="480" w:firstLineChars="200"/>
        <w:jc w:val="left"/>
        <w:rPr>
          <w:color w:val="000000"/>
          <w:kern w:val="0"/>
          <w:sz w:val="24"/>
        </w:rPr>
      </w:pPr>
      <w:r>
        <w:rPr>
          <w:color w:val="000000"/>
          <w:kern w:val="0"/>
          <w:sz w:val="24"/>
        </w:rPr>
        <w:t>22.1磋商开始之后，直到授予成交人合同止，凡是属于审查、澄清、评价和比较报价的有关资料以及授标意向等，均不得向供应商或其他与评审无关的人员透露。</w:t>
      </w:r>
    </w:p>
    <w:p>
      <w:pPr>
        <w:widowControl/>
        <w:snapToGrid w:val="0"/>
        <w:spacing w:line="360" w:lineRule="auto"/>
        <w:ind w:firstLine="480" w:firstLineChars="200"/>
        <w:jc w:val="left"/>
        <w:rPr>
          <w:color w:val="000000"/>
          <w:kern w:val="0"/>
          <w:sz w:val="24"/>
        </w:rPr>
      </w:pPr>
      <w:r>
        <w:rPr>
          <w:color w:val="000000"/>
          <w:kern w:val="0"/>
          <w:sz w:val="24"/>
        </w:rPr>
        <w:t>22.2在磋商期间，供应商企图影响采购代理机构或磋商小组的任何活动，将导致报价被拒绝，并由其承担相应的法律责任。</w:t>
      </w:r>
    </w:p>
    <w:p>
      <w:pPr>
        <w:widowControl/>
        <w:snapToGrid w:val="0"/>
        <w:spacing w:line="360" w:lineRule="auto"/>
        <w:ind w:firstLine="482" w:firstLineChars="200"/>
        <w:jc w:val="left"/>
        <w:rPr>
          <w:b/>
          <w:bCs/>
          <w:color w:val="000000"/>
          <w:kern w:val="0"/>
          <w:sz w:val="24"/>
        </w:rPr>
      </w:pPr>
      <w:r>
        <w:rPr>
          <w:b/>
          <w:bCs/>
          <w:color w:val="000000"/>
          <w:kern w:val="0"/>
          <w:sz w:val="24"/>
        </w:rPr>
        <w:t>23.关于供应商瑕疵滞后发现的处理规则</w:t>
      </w:r>
    </w:p>
    <w:p>
      <w:pPr>
        <w:widowControl/>
        <w:snapToGrid w:val="0"/>
        <w:spacing w:line="360" w:lineRule="auto"/>
        <w:ind w:firstLine="480" w:firstLineChars="200"/>
        <w:jc w:val="left"/>
        <w:rPr>
          <w:color w:val="000000"/>
          <w:kern w:val="0"/>
          <w:sz w:val="24"/>
        </w:rPr>
      </w:pPr>
      <w:r>
        <w:rPr>
          <w:color w:val="000000"/>
          <w:kern w:val="0"/>
          <w:sz w:val="24"/>
        </w:rPr>
        <w:t>采购人、采购代理机构发现磋商小组未按照磋商文件规定的评审标准进行评审的，应当重新开展采购活动，并同时书面报告本级财政部门。</w:t>
      </w:r>
    </w:p>
    <w:p>
      <w:pPr>
        <w:pStyle w:val="4"/>
        <w:snapToGrid w:val="0"/>
        <w:spacing w:before="0" w:after="0" w:line="360" w:lineRule="auto"/>
        <w:rPr>
          <w:rFonts w:ascii="Times New Roman" w:hAnsi="Times New Roman" w:eastAsia="宋体"/>
          <w:bCs/>
          <w:color w:val="000000"/>
          <w:kern w:val="0"/>
          <w:sz w:val="24"/>
        </w:rPr>
      </w:pPr>
      <w:bookmarkStart w:id="51" w:name="_Toc17425"/>
      <w:r>
        <w:rPr>
          <w:rFonts w:ascii="Times New Roman" w:hAnsi="Times New Roman" w:eastAsia="宋体"/>
          <w:bCs/>
          <w:color w:val="000000"/>
          <w:kern w:val="0"/>
          <w:sz w:val="24"/>
        </w:rPr>
        <w:t>六、签订合同</w:t>
      </w:r>
      <w:bookmarkEnd w:id="51"/>
    </w:p>
    <w:p>
      <w:pPr>
        <w:widowControl/>
        <w:snapToGrid w:val="0"/>
        <w:spacing w:line="360" w:lineRule="auto"/>
        <w:ind w:firstLine="482" w:firstLineChars="200"/>
        <w:jc w:val="left"/>
        <w:rPr>
          <w:b/>
          <w:bCs/>
          <w:color w:val="000000"/>
          <w:kern w:val="0"/>
          <w:sz w:val="24"/>
        </w:rPr>
      </w:pPr>
      <w:r>
        <w:rPr>
          <w:b/>
          <w:bCs/>
          <w:color w:val="000000"/>
          <w:kern w:val="0"/>
          <w:sz w:val="24"/>
        </w:rPr>
        <w:t>24.成交通知</w:t>
      </w:r>
    </w:p>
    <w:p>
      <w:pPr>
        <w:widowControl/>
        <w:snapToGrid w:val="0"/>
        <w:spacing w:line="360" w:lineRule="auto"/>
        <w:ind w:firstLine="480" w:firstLineChars="200"/>
        <w:jc w:val="left"/>
        <w:rPr>
          <w:color w:val="000000"/>
          <w:kern w:val="0"/>
          <w:sz w:val="24"/>
        </w:rPr>
      </w:pPr>
      <w:r>
        <w:rPr>
          <w:color w:val="000000"/>
          <w:kern w:val="0"/>
          <w:sz w:val="24"/>
        </w:rPr>
        <w:t>24.1成交供应商确定后2个工作日内采购代理机构将在刊登本次竞争性磋商公告的媒体上发布成交公告，并向成交供应商发出成交通知书，但该成交结果的有效性不依赖于未成交的供应商是否知道成交结果。成交通知书对采购人和成交供应商具有同等法律效力。成交通知书发出以后，采购人改变成交结果或者成交供应商放弃成交，应当承担相应的法律责任。</w:t>
      </w:r>
    </w:p>
    <w:p>
      <w:pPr>
        <w:widowControl/>
        <w:snapToGrid w:val="0"/>
        <w:spacing w:line="360" w:lineRule="auto"/>
        <w:ind w:firstLine="480" w:firstLineChars="200"/>
        <w:jc w:val="left"/>
        <w:rPr>
          <w:color w:val="000000"/>
          <w:kern w:val="0"/>
          <w:sz w:val="24"/>
        </w:rPr>
      </w:pPr>
      <w:r>
        <w:rPr>
          <w:color w:val="000000"/>
          <w:kern w:val="0"/>
          <w:sz w:val="24"/>
        </w:rPr>
        <w:t>24.2采购代理机构对未成交的供应商不作未成交原因的解释。</w:t>
      </w:r>
    </w:p>
    <w:p>
      <w:pPr>
        <w:widowControl/>
        <w:snapToGrid w:val="0"/>
        <w:spacing w:line="360" w:lineRule="auto"/>
        <w:ind w:firstLine="480" w:firstLineChars="200"/>
        <w:jc w:val="left"/>
        <w:rPr>
          <w:color w:val="000000"/>
          <w:kern w:val="0"/>
          <w:sz w:val="24"/>
        </w:rPr>
      </w:pPr>
      <w:r>
        <w:rPr>
          <w:color w:val="000000"/>
          <w:kern w:val="0"/>
          <w:sz w:val="24"/>
        </w:rPr>
        <w:t>24.3成交通知书是合同的组成部分。</w:t>
      </w:r>
    </w:p>
    <w:p>
      <w:pPr>
        <w:widowControl/>
        <w:snapToGrid w:val="0"/>
        <w:spacing w:line="360" w:lineRule="auto"/>
        <w:ind w:firstLine="482" w:firstLineChars="200"/>
        <w:jc w:val="left"/>
        <w:rPr>
          <w:b/>
          <w:bCs/>
          <w:color w:val="000000"/>
          <w:kern w:val="0"/>
          <w:sz w:val="24"/>
        </w:rPr>
      </w:pPr>
      <w:r>
        <w:rPr>
          <w:b/>
          <w:bCs/>
          <w:color w:val="000000"/>
          <w:kern w:val="0"/>
          <w:sz w:val="24"/>
        </w:rPr>
        <w:t>25.成交服务费</w:t>
      </w:r>
    </w:p>
    <w:p>
      <w:pPr>
        <w:widowControl/>
        <w:snapToGrid w:val="0"/>
        <w:spacing w:line="360" w:lineRule="auto"/>
        <w:ind w:firstLine="480" w:firstLineChars="200"/>
        <w:jc w:val="left"/>
        <w:rPr>
          <w:color w:val="000000"/>
          <w:kern w:val="0"/>
          <w:sz w:val="24"/>
        </w:rPr>
      </w:pPr>
      <w:r>
        <w:rPr>
          <w:color w:val="000000"/>
          <w:kern w:val="0"/>
          <w:sz w:val="24"/>
        </w:rPr>
        <w:t>本次磋商收取成交服务费，请供应商在测算报价时充分考虑这一因素。</w:t>
      </w:r>
    </w:p>
    <w:p>
      <w:pPr>
        <w:widowControl/>
        <w:snapToGrid w:val="0"/>
        <w:spacing w:line="360" w:lineRule="auto"/>
        <w:ind w:firstLine="480" w:firstLineChars="200"/>
        <w:jc w:val="left"/>
        <w:rPr>
          <w:color w:val="000000"/>
          <w:kern w:val="0"/>
          <w:sz w:val="24"/>
        </w:rPr>
      </w:pPr>
      <w:r>
        <w:rPr>
          <w:rFonts w:hint="default" w:ascii="Times New Roman" w:hAnsi="Times New Roman" w:cs="Times New Roman"/>
          <w:color w:val="000000"/>
          <w:kern w:val="0"/>
          <w:sz w:val="24"/>
          <w:highlight w:val="none"/>
        </w:rPr>
        <w:t>参照国家计委“计价格[2002]1980号”、国家发改委“发改价格[2011]534号”文件规定的</w:t>
      </w:r>
      <w:r>
        <w:rPr>
          <w:rFonts w:hint="eastAsia" w:cs="Times New Roman"/>
          <w:color w:val="000000"/>
          <w:kern w:val="0"/>
          <w:sz w:val="24"/>
          <w:highlight w:val="none"/>
          <w:lang w:val="en-US" w:eastAsia="zh-CN"/>
        </w:rPr>
        <w:t>100</w:t>
      </w:r>
      <w:r>
        <w:rPr>
          <w:rFonts w:hint="default" w:ascii="Times New Roman" w:hAnsi="Times New Roman" w:cs="Times New Roman"/>
          <w:color w:val="000000"/>
          <w:kern w:val="0"/>
          <w:sz w:val="24"/>
          <w:highlight w:val="none"/>
        </w:rPr>
        <w:t>%向成交供应商收取。</w:t>
      </w:r>
    </w:p>
    <w:p>
      <w:pPr>
        <w:widowControl/>
        <w:snapToGrid w:val="0"/>
        <w:spacing w:line="360" w:lineRule="auto"/>
        <w:ind w:firstLine="482" w:firstLineChars="200"/>
        <w:jc w:val="left"/>
        <w:rPr>
          <w:b/>
          <w:bCs/>
          <w:color w:val="000000"/>
          <w:kern w:val="0"/>
          <w:sz w:val="24"/>
        </w:rPr>
      </w:pPr>
      <w:r>
        <w:rPr>
          <w:b/>
          <w:bCs/>
          <w:color w:val="000000"/>
          <w:kern w:val="0"/>
          <w:sz w:val="24"/>
        </w:rPr>
        <w:t>26.签订合同</w:t>
      </w:r>
    </w:p>
    <w:p>
      <w:pPr>
        <w:widowControl/>
        <w:snapToGrid w:val="0"/>
        <w:spacing w:line="360" w:lineRule="auto"/>
        <w:ind w:firstLine="480" w:firstLineChars="200"/>
        <w:jc w:val="left"/>
        <w:rPr>
          <w:color w:val="000000"/>
          <w:kern w:val="0"/>
          <w:sz w:val="24"/>
        </w:rPr>
      </w:pPr>
      <w:r>
        <w:rPr>
          <w:color w:val="000000"/>
          <w:kern w:val="0"/>
          <w:sz w:val="24"/>
        </w:rPr>
        <w:t>26.1成交供应商应在接到成交通知书30日内与采购人签订合同。</w:t>
      </w:r>
    </w:p>
    <w:p>
      <w:pPr>
        <w:widowControl/>
        <w:snapToGrid w:val="0"/>
        <w:spacing w:line="360" w:lineRule="auto"/>
        <w:ind w:firstLine="480" w:firstLineChars="200"/>
        <w:jc w:val="left"/>
        <w:rPr>
          <w:color w:val="000000"/>
          <w:kern w:val="0"/>
          <w:sz w:val="24"/>
        </w:rPr>
      </w:pPr>
      <w:r>
        <w:rPr>
          <w:color w:val="000000"/>
          <w:kern w:val="0"/>
          <w:sz w:val="24"/>
        </w:rPr>
        <w:t>26.2成交供应商应按照竞争性磋商文件、响应文件及评审过程中的有关澄清、说明或者补正文件的内容与采购人签订合同。成交供应商不得再与采购人签订背离合同实质性内容的其它协议或声明。</w:t>
      </w:r>
    </w:p>
    <w:p>
      <w:pPr>
        <w:widowControl/>
        <w:snapToGrid w:val="0"/>
        <w:spacing w:line="360" w:lineRule="auto"/>
        <w:ind w:firstLine="480" w:firstLineChars="200"/>
        <w:jc w:val="left"/>
        <w:rPr>
          <w:color w:val="000000"/>
          <w:kern w:val="0"/>
          <w:sz w:val="24"/>
        </w:rPr>
      </w:pPr>
      <w:r>
        <w:rPr>
          <w:color w:val="000000"/>
          <w:kern w:val="0"/>
          <w:sz w:val="24"/>
        </w:rPr>
        <w:t>26.3在合同履行中，采购人如需追加与合同标的相同的货物或服务，在不改变合同其他条款的前提下，成交供应商可与采购人协商签订补充合同，但所有补充合同的采购金额不得超过原合同金额的百分之十。</w:t>
      </w:r>
    </w:p>
    <w:p>
      <w:pPr>
        <w:widowControl/>
        <w:snapToGrid w:val="0"/>
        <w:spacing w:line="360" w:lineRule="auto"/>
        <w:ind w:firstLine="480" w:firstLineChars="200"/>
        <w:jc w:val="left"/>
        <w:rPr>
          <w:color w:val="000000"/>
          <w:kern w:val="0"/>
          <w:sz w:val="24"/>
        </w:rPr>
      </w:pPr>
      <w:r>
        <w:rPr>
          <w:color w:val="000000"/>
          <w:kern w:val="0"/>
          <w:sz w:val="24"/>
        </w:rPr>
        <w:t>26.4成交供应商一旦成交，未经采购人事先给予书面同意不得转包、分包，亦不得将合同全部及任何权利、义务向第三方转让，否则将被视为严重违约，采购人有权决定按照成交供应商成交后毁标、终止或解除合同等依约处理。</w:t>
      </w:r>
    </w:p>
    <w:p>
      <w:pPr>
        <w:widowControl/>
        <w:snapToGrid w:val="0"/>
        <w:spacing w:line="360" w:lineRule="auto"/>
        <w:ind w:firstLine="480" w:firstLineChars="200"/>
        <w:jc w:val="left"/>
        <w:rPr>
          <w:color w:val="000000"/>
          <w:kern w:val="0"/>
          <w:sz w:val="24"/>
        </w:rPr>
      </w:pPr>
      <w:r>
        <w:rPr>
          <w:color w:val="000000"/>
          <w:kern w:val="0"/>
          <w:sz w:val="24"/>
        </w:rPr>
        <w:t>26.5违反26条的规定，给对方造成损失的，应承担赔偿责任。</w:t>
      </w:r>
    </w:p>
    <w:p>
      <w:pPr>
        <w:widowControl/>
        <w:snapToGrid w:val="0"/>
        <w:spacing w:line="360" w:lineRule="auto"/>
        <w:ind w:firstLine="480" w:firstLineChars="200"/>
        <w:jc w:val="left"/>
        <w:rPr>
          <w:color w:val="000000"/>
          <w:kern w:val="0"/>
          <w:sz w:val="24"/>
        </w:rPr>
      </w:pPr>
      <w:r>
        <w:rPr>
          <w:color w:val="000000"/>
          <w:kern w:val="0"/>
          <w:sz w:val="24"/>
        </w:rPr>
        <w:t>26.6成交供应商拒绝签订政府采购合同的，采购人可以从评审报告提出的成交候选供应商中，按照排序由高到低的原则确定其它成交候选供应商作为成交供应商并签订政府采购合同，也可以重新开展采购活动。拒绝签订政府采购合同的成交供应商不得参加对该项目重新开展的采购活动。</w:t>
      </w:r>
    </w:p>
    <w:p>
      <w:pPr>
        <w:pStyle w:val="4"/>
        <w:snapToGrid w:val="0"/>
        <w:spacing w:before="0" w:after="0" w:line="360" w:lineRule="auto"/>
        <w:rPr>
          <w:rFonts w:ascii="Times New Roman" w:hAnsi="Times New Roman" w:eastAsia="宋体"/>
          <w:bCs/>
          <w:color w:val="000000"/>
          <w:kern w:val="0"/>
          <w:sz w:val="24"/>
        </w:rPr>
      </w:pPr>
      <w:bookmarkStart w:id="52" w:name="_Toc13362"/>
      <w:r>
        <w:rPr>
          <w:rFonts w:ascii="Times New Roman" w:hAnsi="Times New Roman" w:eastAsia="宋体"/>
          <w:bCs/>
          <w:color w:val="000000"/>
          <w:kern w:val="0"/>
          <w:sz w:val="24"/>
        </w:rPr>
        <w:t>七、保密和披露</w:t>
      </w:r>
      <w:bookmarkEnd w:id="52"/>
    </w:p>
    <w:p>
      <w:pPr>
        <w:widowControl/>
        <w:snapToGrid w:val="0"/>
        <w:spacing w:line="360" w:lineRule="auto"/>
        <w:ind w:firstLine="482" w:firstLineChars="200"/>
        <w:jc w:val="left"/>
        <w:rPr>
          <w:b/>
          <w:bCs/>
          <w:color w:val="000000"/>
          <w:kern w:val="0"/>
          <w:sz w:val="24"/>
        </w:rPr>
      </w:pPr>
      <w:r>
        <w:rPr>
          <w:b/>
          <w:bCs/>
          <w:color w:val="000000"/>
          <w:kern w:val="0"/>
          <w:sz w:val="24"/>
        </w:rPr>
        <w:t>27.保密</w:t>
      </w:r>
    </w:p>
    <w:p>
      <w:pPr>
        <w:widowControl/>
        <w:snapToGrid w:val="0"/>
        <w:spacing w:line="360" w:lineRule="auto"/>
        <w:ind w:firstLine="480" w:firstLineChars="200"/>
        <w:jc w:val="left"/>
        <w:rPr>
          <w:color w:val="000000"/>
          <w:kern w:val="0"/>
          <w:sz w:val="24"/>
        </w:rPr>
      </w:pPr>
      <w:r>
        <w:rPr>
          <w:color w:val="000000"/>
          <w:kern w:val="0"/>
          <w:sz w:val="24"/>
        </w:rPr>
        <w:t>供应商自领取磋商文件之日起，须承诺承担对本采购项目的保密义务，不得将因本次磋商获得的信息向第三人外传。</w:t>
      </w:r>
    </w:p>
    <w:p>
      <w:pPr>
        <w:widowControl/>
        <w:snapToGrid w:val="0"/>
        <w:spacing w:line="360" w:lineRule="auto"/>
        <w:ind w:firstLine="482" w:firstLineChars="200"/>
        <w:jc w:val="left"/>
        <w:rPr>
          <w:b/>
          <w:bCs/>
          <w:color w:val="000000"/>
          <w:kern w:val="0"/>
          <w:sz w:val="24"/>
        </w:rPr>
      </w:pPr>
      <w:r>
        <w:rPr>
          <w:b/>
          <w:bCs/>
          <w:color w:val="000000"/>
          <w:kern w:val="0"/>
          <w:sz w:val="24"/>
        </w:rPr>
        <w:t>28.披露</w:t>
      </w:r>
    </w:p>
    <w:p>
      <w:pPr>
        <w:widowControl/>
        <w:snapToGrid w:val="0"/>
        <w:spacing w:line="360" w:lineRule="auto"/>
        <w:ind w:firstLine="480" w:firstLineChars="200"/>
        <w:jc w:val="left"/>
        <w:rPr>
          <w:color w:val="000000"/>
          <w:kern w:val="0"/>
          <w:sz w:val="24"/>
        </w:rPr>
      </w:pPr>
      <w:r>
        <w:rPr>
          <w:color w:val="000000"/>
          <w:kern w:val="0"/>
          <w:sz w:val="24"/>
        </w:rPr>
        <w:t>28.1采购代理机构有权将供应商提供的所有资料向有关政府部门或评审标书的有关人员披露。</w:t>
      </w:r>
    </w:p>
    <w:p>
      <w:pPr>
        <w:widowControl/>
        <w:snapToGrid w:val="0"/>
        <w:spacing w:line="360" w:lineRule="auto"/>
        <w:ind w:firstLine="480" w:firstLineChars="200"/>
        <w:jc w:val="left"/>
        <w:rPr>
          <w:color w:val="000000"/>
          <w:kern w:val="0"/>
          <w:sz w:val="24"/>
        </w:rPr>
      </w:pPr>
      <w:r>
        <w:rPr>
          <w:color w:val="000000"/>
          <w:kern w:val="0"/>
          <w:sz w:val="24"/>
        </w:rPr>
        <w:t>28.2在采购代理机构认为适当时、国家机关调查、审查、审计时以及其他符合法律规定的情形下，采购代理机构无须事先征求供应商/采购人同意而可以披露关于采购过程、合同文本、签署情况的资料、供应商/采购人的名称及地址、响应文件的有关信息以及补充条款等，但应当在合理的必要范围内。对任何已经公布过的内容或与之内容相同的资料，以及供应商/采购人已经泄露或公开的，无须再承担保密责任。</w:t>
      </w:r>
    </w:p>
    <w:p>
      <w:pPr>
        <w:pStyle w:val="4"/>
        <w:snapToGrid w:val="0"/>
        <w:spacing w:before="0" w:after="0" w:line="360" w:lineRule="auto"/>
        <w:rPr>
          <w:rFonts w:ascii="Times New Roman" w:hAnsi="Times New Roman" w:eastAsia="宋体"/>
          <w:bCs/>
          <w:color w:val="000000"/>
          <w:kern w:val="0"/>
          <w:sz w:val="24"/>
        </w:rPr>
      </w:pPr>
      <w:bookmarkStart w:id="53" w:name="_Toc31092"/>
      <w:r>
        <w:rPr>
          <w:rFonts w:ascii="Times New Roman" w:hAnsi="Times New Roman" w:eastAsia="宋体"/>
          <w:bCs/>
          <w:color w:val="000000"/>
          <w:kern w:val="0"/>
          <w:sz w:val="24"/>
        </w:rPr>
        <w:t>八、询问和质疑</w:t>
      </w:r>
      <w:bookmarkEnd w:id="53"/>
    </w:p>
    <w:p>
      <w:pPr>
        <w:widowControl/>
        <w:snapToGrid w:val="0"/>
        <w:spacing w:line="360" w:lineRule="auto"/>
        <w:ind w:firstLine="482" w:firstLineChars="200"/>
        <w:jc w:val="left"/>
        <w:rPr>
          <w:b/>
          <w:bCs/>
          <w:color w:val="000000"/>
          <w:kern w:val="0"/>
          <w:sz w:val="24"/>
        </w:rPr>
      </w:pPr>
      <w:r>
        <w:rPr>
          <w:b/>
          <w:bCs/>
          <w:color w:val="000000"/>
          <w:kern w:val="0"/>
          <w:sz w:val="24"/>
        </w:rPr>
        <w:t>29.供应商有权就磋商事宜提出询问和质疑。</w:t>
      </w:r>
    </w:p>
    <w:p>
      <w:pPr>
        <w:widowControl/>
        <w:snapToGrid w:val="0"/>
        <w:spacing w:line="360" w:lineRule="auto"/>
        <w:ind w:firstLine="480" w:firstLineChars="200"/>
        <w:jc w:val="left"/>
        <w:rPr>
          <w:color w:val="000000"/>
          <w:kern w:val="0"/>
          <w:sz w:val="24"/>
        </w:rPr>
      </w:pPr>
      <w:r>
        <w:rPr>
          <w:color w:val="000000"/>
          <w:kern w:val="0"/>
          <w:sz w:val="24"/>
        </w:rPr>
        <w:t>29.1磋商程序受《中华人民共和国政府采购法》和相关法律法规的约束，并受到严格的内部监督，以确保授予合同过程的公平公正。</w:t>
      </w:r>
    </w:p>
    <w:p>
      <w:pPr>
        <w:widowControl/>
        <w:snapToGrid w:val="0"/>
        <w:spacing w:line="360" w:lineRule="auto"/>
        <w:ind w:firstLine="480" w:firstLineChars="200"/>
        <w:jc w:val="left"/>
        <w:rPr>
          <w:color w:val="000000"/>
          <w:kern w:val="0"/>
          <w:sz w:val="24"/>
        </w:rPr>
      </w:pPr>
      <w:r>
        <w:rPr>
          <w:color w:val="000000"/>
          <w:kern w:val="0"/>
          <w:sz w:val="24"/>
        </w:rPr>
        <w:t>29.2供应商对磋商文件条款或技术、商务参数有异议的，应当在磋商前通过澄清或修改程序提出。</w:t>
      </w:r>
    </w:p>
    <w:p>
      <w:pPr>
        <w:widowControl/>
        <w:snapToGrid w:val="0"/>
        <w:spacing w:line="360" w:lineRule="auto"/>
        <w:ind w:firstLine="480" w:firstLineChars="200"/>
        <w:jc w:val="left"/>
        <w:rPr>
          <w:color w:val="000000"/>
          <w:kern w:val="0"/>
          <w:sz w:val="24"/>
        </w:rPr>
      </w:pPr>
      <w:r>
        <w:rPr>
          <w:color w:val="000000"/>
          <w:kern w:val="0"/>
          <w:sz w:val="24"/>
        </w:rPr>
        <w:t>29.3供应商对采购事项有疑问的，可以向采购代理机构提出询问。</w:t>
      </w:r>
    </w:p>
    <w:p>
      <w:pPr>
        <w:widowControl/>
        <w:snapToGrid w:val="0"/>
        <w:spacing w:line="360" w:lineRule="auto"/>
        <w:ind w:firstLine="480" w:firstLineChars="200"/>
        <w:jc w:val="left"/>
        <w:rPr>
          <w:color w:val="000000"/>
          <w:kern w:val="0"/>
          <w:sz w:val="24"/>
        </w:rPr>
      </w:pPr>
      <w:r>
        <w:rPr>
          <w:color w:val="000000"/>
          <w:kern w:val="0"/>
          <w:sz w:val="24"/>
        </w:rPr>
        <w:t>29.4供应商认为其报价未获公平评审或采购过程和成交结果使自己的合法权益受到损害的，应当在知道或者应知其权益受到损害之日起7个工作日内提出质疑。</w:t>
      </w:r>
    </w:p>
    <w:p>
      <w:pPr>
        <w:widowControl/>
        <w:snapToGrid w:val="0"/>
        <w:spacing w:line="360" w:lineRule="auto"/>
        <w:ind w:firstLine="480" w:firstLineChars="200"/>
        <w:jc w:val="left"/>
        <w:rPr>
          <w:color w:val="000000"/>
          <w:kern w:val="0"/>
          <w:sz w:val="24"/>
        </w:rPr>
      </w:pPr>
      <w:r>
        <w:rPr>
          <w:color w:val="000000"/>
          <w:kern w:val="0"/>
          <w:sz w:val="24"/>
        </w:rPr>
        <w:t>29.5质疑应当以书面形式向采购代理机构提出，经法定代表人签字并加盖公章。供应商也可以根据“山西省财政厅关于政府采购项目全面实施在线质疑的通知”内容，通过山西政府采购平台“项目质疑管理”功能进行质疑。</w:t>
      </w:r>
    </w:p>
    <w:p>
      <w:pPr>
        <w:widowControl/>
        <w:snapToGrid w:val="0"/>
        <w:spacing w:line="360" w:lineRule="auto"/>
        <w:ind w:firstLine="480" w:firstLineChars="200"/>
        <w:jc w:val="left"/>
        <w:rPr>
          <w:color w:val="000000"/>
          <w:kern w:val="0"/>
          <w:sz w:val="24"/>
        </w:rPr>
      </w:pPr>
      <w:r>
        <w:rPr>
          <w:color w:val="000000"/>
          <w:kern w:val="0"/>
          <w:sz w:val="24"/>
        </w:rPr>
        <w:t>29.6质疑书应当包括以下主要内容：被质疑项目名称、项目编号、包号、招标公告发布时间、质疑事项、法律依据（具体条款）、质疑人全称、法定代表人签字、盖章、有效联系方式（包括手机、传真号码）。</w:t>
      </w:r>
    </w:p>
    <w:p>
      <w:pPr>
        <w:widowControl/>
        <w:snapToGrid w:val="0"/>
        <w:spacing w:line="360" w:lineRule="auto"/>
        <w:ind w:firstLine="480" w:firstLineChars="200"/>
        <w:jc w:val="left"/>
        <w:rPr>
          <w:color w:val="000000"/>
          <w:kern w:val="0"/>
          <w:sz w:val="24"/>
        </w:rPr>
      </w:pPr>
      <w:r>
        <w:rPr>
          <w:color w:val="000000"/>
          <w:kern w:val="0"/>
          <w:sz w:val="24"/>
        </w:rPr>
        <w:t>29.7质疑应按照“谁主张、谁举证”的原则，质疑书应当附相关证明材料。质疑材料应为简体中文，一式二份。</w:t>
      </w:r>
    </w:p>
    <w:p>
      <w:pPr>
        <w:widowControl/>
        <w:snapToGrid w:val="0"/>
        <w:spacing w:line="360" w:lineRule="auto"/>
        <w:ind w:firstLine="480" w:firstLineChars="200"/>
        <w:jc w:val="left"/>
        <w:rPr>
          <w:color w:val="000000"/>
          <w:kern w:val="0"/>
          <w:sz w:val="24"/>
        </w:rPr>
      </w:pPr>
      <w:r>
        <w:rPr>
          <w:color w:val="000000"/>
          <w:kern w:val="0"/>
          <w:sz w:val="24"/>
        </w:rPr>
        <w:t>29.8有下列情形之一的，属于无效质疑，采购代理机构可不予受理：</w:t>
      </w:r>
    </w:p>
    <w:p>
      <w:pPr>
        <w:widowControl/>
        <w:snapToGrid w:val="0"/>
        <w:spacing w:line="360" w:lineRule="auto"/>
        <w:ind w:firstLine="480" w:firstLineChars="200"/>
        <w:jc w:val="left"/>
        <w:rPr>
          <w:color w:val="000000"/>
          <w:kern w:val="0"/>
          <w:sz w:val="24"/>
        </w:rPr>
      </w:pPr>
      <w:r>
        <w:rPr>
          <w:color w:val="000000"/>
          <w:kern w:val="0"/>
          <w:sz w:val="24"/>
        </w:rPr>
        <w:t>（1）未在有效期限内提出质疑的；</w:t>
      </w:r>
    </w:p>
    <w:p>
      <w:pPr>
        <w:widowControl/>
        <w:snapToGrid w:val="0"/>
        <w:spacing w:line="360" w:lineRule="auto"/>
        <w:ind w:firstLine="480" w:firstLineChars="200"/>
        <w:jc w:val="left"/>
        <w:rPr>
          <w:color w:val="000000"/>
          <w:kern w:val="0"/>
          <w:sz w:val="24"/>
        </w:rPr>
      </w:pPr>
      <w:r>
        <w:rPr>
          <w:color w:val="000000"/>
          <w:kern w:val="0"/>
          <w:sz w:val="24"/>
        </w:rPr>
        <w:t>（2）质疑未以书面形式提出的；</w:t>
      </w:r>
    </w:p>
    <w:p>
      <w:pPr>
        <w:widowControl/>
        <w:snapToGrid w:val="0"/>
        <w:spacing w:line="360" w:lineRule="auto"/>
        <w:ind w:firstLine="480" w:firstLineChars="200"/>
        <w:jc w:val="left"/>
        <w:rPr>
          <w:color w:val="000000"/>
          <w:kern w:val="0"/>
          <w:sz w:val="24"/>
        </w:rPr>
      </w:pPr>
      <w:r>
        <w:rPr>
          <w:color w:val="000000"/>
          <w:kern w:val="0"/>
          <w:sz w:val="24"/>
        </w:rPr>
        <w:t>（3）所提交材料未明示属于质疑材料的；</w:t>
      </w:r>
    </w:p>
    <w:p>
      <w:pPr>
        <w:widowControl/>
        <w:snapToGrid w:val="0"/>
        <w:spacing w:line="360" w:lineRule="auto"/>
        <w:ind w:firstLine="480" w:firstLineChars="200"/>
        <w:jc w:val="left"/>
        <w:rPr>
          <w:color w:val="000000"/>
          <w:kern w:val="0"/>
          <w:sz w:val="24"/>
        </w:rPr>
      </w:pPr>
      <w:r>
        <w:rPr>
          <w:color w:val="000000"/>
          <w:kern w:val="0"/>
          <w:sz w:val="24"/>
        </w:rPr>
        <w:t>（4）质疑书没有法定代表人签署本人姓名或印盖本人姓名章并加盖单位公章的；质疑书由参加采购项目的授权代表签署本人姓名或印盖本人姓名章，但没有法定代表人特别授权的；</w:t>
      </w:r>
    </w:p>
    <w:p>
      <w:pPr>
        <w:widowControl/>
        <w:snapToGrid w:val="0"/>
        <w:spacing w:line="360" w:lineRule="auto"/>
        <w:ind w:firstLine="480" w:firstLineChars="200"/>
        <w:jc w:val="left"/>
        <w:rPr>
          <w:color w:val="000000"/>
          <w:kern w:val="0"/>
          <w:sz w:val="24"/>
        </w:rPr>
      </w:pPr>
      <w:r>
        <w:rPr>
          <w:color w:val="000000"/>
          <w:kern w:val="0"/>
          <w:sz w:val="24"/>
        </w:rPr>
        <w:t>（5）质疑书未提供有效联系人或联系方式的；</w:t>
      </w:r>
    </w:p>
    <w:p>
      <w:pPr>
        <w:widowControl/>
        <w:snapToGrid w:val="0"/>
        <w:spacing w:line="360" w:lineRule="auto"/>
        <w:ind w:firstLine="480" w:firstLineChars="200"/>
        <w:jc w:val="left"/>
        <w:rPr>
          <w:color w:val="000000"/>
          <w:kern w:val="0"/>
          <w:sz w:val="24"/>
        </w:rPr>
      </w:pPr>
      <w:r>
        <w:rPr>
          <w:color w:val="000000"/>
          <w:kern w:val="0"/>
          <w:sz w:val="24"/>
        </w:rPr>
        <w:t>（6）质疑事项已经进入投诉或者诉讼程序的；</w:t>
      </w:r>
    </w:p>
    <w:p>
      <w:pPr>
        <w:widowControl/>
        <w:snapToGrid w:val="0"/>
        <w:spacing w:line="360" w:lineRule="auto"/>
        <w:ind w:firstLine="480" w:firstLineChars="200"/>
        <w:jc w:val="left"/>
        <w:rPr>
          <w:color w:val="000000"/>
          <w:kern w:val="0"/>
          <w:sz w:val="24"/>
        </w:rPr>
      </w:pPr>
      <w:r>
        <w:rPr>
          <w:color w:val="000000"/>
          <w:kern w:val="0"/>
          <w:sz w:val="24"/>
        </w:rPr>
        <w:t>（7）质疑书未附相关证明材料，被视为无有效证据支持的。</w:t>
      </w:r>
    </w:p>
    <w:p>
      <w:pPr>
        <w:widowControl/>
        <w:snapToGrid w:val="0"/>
        <w:spacing w:line="360" w:lineRule="auto"/>
        <w:ind w:firstLine="480" w:firstLineChars="200"/>
        <w:jc w:val="left"/>
        <w:rPr>
          <w:color w:val="000000"/>
          <w:kern w:val="0"/>
          <w:sz w:val="24"/>
        </w:rPr>
      </w:pPr>
      <w:r>
        <w:rPr>
          <w:color w:val="000000"/>
          <w:kern w:val="0"/>
          <w:sz w:val="24"/>
        </w:rPr>
        <w:t>（8）供应商对磋商文件条款或技术参数有异议，未在磋商前通过澄清或修改程序提出，并且供应商已经参与报价，而于开标后对磋商文件提出质疑的；</w:t>
      </w:r>
    </w:p>
    <w:p>
      <w:pPr>
        <w:widowControl/>
        <w:snapToGrid w:val="0"/>
        <w:spacing w:line="360" w:lineRule="auto"/>
        <w:ind w:firstLine="480" w:firstLineChars="200"/>
        <w:jc w:val="left"/>
        <w:rPr>
          <w:color w:val="000000"/>
          <w:kern w:val="0"/>
          <w:sz w:val="24"/>
        </w:rPr>
      </w:pPr>
      <w:r>
        <w:rPr>
          <w:color w:val="000000"/>
          <w:kern w:val="0"/>
          <w:sz w:val="24"/>
        </w:rPr>
        <w:t>（9）在提出本次质疑前半年内连续三次质疑而无事实依据的；</w:t>
      </w:r>
    </w:p>
    <w:p>
      <w:pPr>
        <w:widowControl/>
        <w:snapToGrid w:val="0"/>
        <w:spacing w:line="360" w:lineRule="auto"/>
        <w:ind w:firstLine="480" w:firstLineChars="200"/>
        <w:jc w:val="left"/>
        <w:rPr>
          <w:color w:val="000000"/>
          <w:kern w:val="0"/>
          <w:sz w:val="24"/>
        </w:rPr>
      </w:pPr>
      <w:r>
        <w:rPr>
          <w:color w:val="000000"/>
          <w:kern w:val="0"/>
          <w:sz w:val="24"/>
        </w:rPr>
        <w:t>（10）其它不符合受理条件的情形。</w:t>
      </w:r>
    </w:p>
    <w:p>
      <w:pPr>
        <w:widowControl/>
        <w:snapToGrid w:val="0"/>
        <w:spacing w:line="360" w:lineRule="auto"/>
        <w:ind w:firstLine="480" w:firstLineChars="200"/>
        <w:jc w:val="left"/>
        <w:rPr>
          <w:color w:val="000000"/>
          <w:kern w:val="0"/>
          <w:sz w:val="24"/>
        </w:rPr>
      </w:pPr>
      <w:r>
        <w:rPr>
          <w:color w:val="000000"/>
          <w:kern w:val="0"/>
          <w:sz w:val="24"/>
        </w:rPr>
        <w:t>29.9采购人或采购代理机构将在收到书面质疑后7个工作日内审查质疑事项，做出答复或相关处理决定，并以书面形式通知质疑供应商和其他有关供应商，但答复的内容不涉及商业秘密。</w:t>
      </w:r>
    </w:p>
    <w:p>
      <w:pPr>
        <w:widowControl/>
        <w:snapToGrid w:val="0"/>
        <w:spacing w:line="360" w:lineRule="auto"/>
        <w:ind w:firstLine="480" w:firstLineChars="200"/>
        <w:jc w:val="left"/>
        <w:rPr>
          <w:color w:val="000000"/>
          <w:kern w:val="0"/>
          <w:sz w:val="24"/>
        </w:rPr>
      </w:pPr>
      <w:r>
        <w:rPr>
          <w:color w:val="000000"/>
          <w:kern w:val="0"/>
          <w:sz w:val="24"/>
        </w:rPr>
        <w:t>29.10供应商进行虚假和恶意质疑的，将会列入不良记录名单，在一至三年内禁止参加政府采购活动，并将处理决定在相关政府采购媒体上公布。</w:t>
      </w:r>
    </w:p>
    <w:p>
      <w:pPr>
        <w:widowControl/>
        <w:snapToGrid w:val="0"/>
        <w:spacing w:line="360" w:lineRule="auto"/>
        <w:ind w:firstLine="480" w:firstLineChars="200"/>
        <w:jc w:val="left"/>
        <w:rPr>
          <w:color w:val="000000"/>
          <w:kern w:val="0"/>
          <w:sz w:val="24"/>
        </w:rPr>
      </w:pPr>
      <w:r>
        <w:rPr>
          <w:color w:val="000000"/>
          <w:kern w:val="0"/>
          <w:sz w:val="24"/>
        </w:rPr>
        <w:t>29.11质疑供应商对采购人或采购代理机构的答复不满意以及采购人或采购代理机构未在规定的时间内做出答复的，可以在答复期满后15个工作日内向政府采购监管部门投诉。</w:t>
      </w:r>
    </w:p>
    <w:p>
      <w:pPr>
        <w:pStyle w:val="4"/>
        <w:snapToGrid w:val="0"/>
        <w:spacing w:before="0" w:after="0" w:line="360" w:lineRule="auto"/>
        <w:rPr>
          <w:rFonts w:ascii="Times New Roman" w:hAnsi="Times New Roman" w:eastAsia="宋体"/>
          <w:bCs/>
          <w:color w:val="000000"/>
          <w:kern w:val="0"/>
          <w:sz w:val="24"/>
        </w:rPr>
      </w:pPr>
      <w:bookmarkStart w:id="54" w:name="_Toc12850"/>
      <w:r>
        <w:rPr>
          <w:rFonts w:ascii="Times New Roman" w:hAnsi="Times New Roman" w:eastAsia="宋体"/>
          <w:bCs/>
          <w:color w:val="000000"/>
          <w:kern w:val="0"/>
          <w:sz w:val="24"/>
        </w:rPr>
        <w:t>九、违约处罚</w:t>
      </w:r>
      <w:bookmarkEnd w:id="54"/>
    </w:p>
    <w:p>
      <w:pPr>
        <w:widowControl/>
        <w:snapToGrid w:val="0"/>
        <w:spacing w:line="360" w:lineRule="auto"/>
        <w:ind w:firstLine="480" w:firstLineChars="200"/>
        <w:jc w:val="left"/>
        <w:rPr>
          <w:color w:val="000000"/>
          <w:kern w:val="0"/>
          <w:sz w:val="24"/>
        </w:rPr>
      </w:pPr>
      <w:r>
        <w:rPr>
          <w:color w:val="000000"/>
          <w:kern w:val="0"/>
          <w:sz w:val="24"/>
        </w:rPr>
        <w:t>30.发生下列情况之一，供应商的保证金将被没收，并可能被列入不良记录名单，供应商今后参与同类政府采购项目的机会可能会受到影响：</w:t>
      </w:r>
    </w:p>
    <w:p>
      <w:pPr>
        <w:widowControl/>
        <w:snapToGrid w:val="0"/>
        <w:spacing w:line="360" w:lineRule="auto"/>
        <w:ind w:firstLine="480" w:firstLineChars="200"/>
        <w:jc w:val="left"/>
        <w:rPr>
          <w:color w:val="000000"/>
          <w:kern w:val="0"/>
          <w:sz w:val="24"/>
        </w:rPr>
      </w:pPr>
      <w:r>
        <w:rPr>
          <w:color w:val="000000"/>
          <w:kern w:val="0"/>
          <w:sz w:val="24"/>
        </w:rPr>
        <w:t>（1）开标后在报价有效期内，供应商撤回其报价；</w:t>
      </w:r>
    </w:p>
    <w:p>
      <w:pPr>
        <w:widowControl/>
        <w:snapToGrid w:val="0"/>
        <w:spacing w:line="360" w:lineRule="auto"/>
        <w:ind w:firstLine="480" w:firstLineChars="200"/>
        <w:jc w:val="left"/>
        <w:rPr>
          <w:color w:val="000000"/>
          <w:kern w:val="0"/>
          <w:sz w:val="24"/>
        </w:rPr>
      </w:pPr>
      <w:r>
        <w:rPr>
          <w:color w:val="000000"/>
          <w:kern w:val="0"/>
          <w:sz w:val="24"/>
        </w:rPr>
        <w:t>（2）在评审期间，供应商企图影响采购代理机构或磋商小组的任何活动，将导致报价被拒绝，并由其承担相应的法律责任；</w:t>
      </w:r>
    </w:p>
    <w:p>
      <w:pPr>
        <w:widowControl/>
        <w:snapToGrid w:val="0"/>
        <w:spacing w:line="360" w:lineRule="auto"/>
        <w:ind w:firstLine="480" w:firstLineChars="200"/>
        <w:jc w:val="left"/>
        <w:rPr>
          <w:color w:val="000000"/>
          <w:kern w:val="0"/>
          <w:sz w:val="24"/>
        </w:rPr>
      </w:pPr>
      <w:r>
        <w:rPr>
          <w:color w:val="000000"/>
          <w:kern w:val="0"/>
          <w:sz w:val="24"/>
        </w:rPr>
        <w:t>（3）成交人未按本磋商文件规定签约；</w:t>
      </w:r>
    </w:p>
    <w:p>
      <w:pPr>
        <w:widowControl/>
        <w:snapToGrid w:val="0"/>
        <w:spacing w:line="360" w:lineRule="auto"/>
        <w:ind w:firstLine="480" w:firstLineChars="200"/>
        <w:jc w:val="left"/>
        <w:rPr>
          <w:color w:val="000000"/>
          <w:kern w:val="0"/>
          <w:sz w:val="24"/>
        </w:rPr>
      </w:pPr>
      <w:r>
        <w:rPr>
          <w:color w:val="000000"/>
          <w:kern w:val="0"/>
          <w:sz w:val="24"/>
        </w:rPr>
        <w:t>（4）成交人与采购人订立背离合同实质性内容的其它协议；</w:t>
      </w:r>
    </w:p>
    <w:p>
      <w:pPr>
        <w:widowControl/>
        <w:snapToGrid w:val="0"/>
        <w:spacing w:line="360" w:lineRule="auto"/>
        <w:ind w:firstLine="480" w:firstLineChars="200"/>
        <w:jc w:val="left"/>
        <w:rPr>
          <w:color w:val="000000"/>
          <w:kern w:val="0"/>
          <w:sz w:val="24"/>
        </w:rPr>
      </w:pPr>
      <w:r>
        <w:rPr>
          <w:color w:val="000000"/>
          <w:kern w:val="0"/>
          <w:sz w:val="24"/>
        </w:rPr>
        <w:t>（5）供应商未按磋商文件规定和合同约定履行义务的。</w:t>
      </w:r>
    </w:p>
    <w:bookmarkEnd w:id="45"/>
    <w:p>
      <w:pPr>
        <w:widowControl/>
        <w:snapToGrid w:val="0"/>
        <w:spacing w:line="360" w:lineRule="auto"/>
        <w:jc w:val="left"/>
        <w:rPr>
          <w:color w:val="000000"/>
          <w:kern w:val="0"/>
          <w:sz w:val="24"/>
        </w:rPr>
      </w:pPr>
      <w:bookmarkStart w:id="55" w:name="_Toc175644026"/>
    </w:p>
    <w:p>
      <w:pPr>
        <w:widowControl/>
        <w:snapToGrid w:val="0"/>
        <w:spacing w:line="360" w:lineRule="auto"/>
        <w:jc w:val="left"/>
        <w:rPr>
          <w:bCs/>
          <w:color w:val="000000"/>
          <w:kern w:val="0"/>
          <w:sz w:val="32"/>
          <w:szCs w:val="32"/>
        </w:rPr>
        <w:sectPr>
          <w:pgSz w:w="11907" w:h="16840"/>
          <w:pgMar w:top="1440" w:right="1797" w:bottom="1440" w:left="1797" w:header="964" w:footer="992" w:gutter="0"/>
          <w:cols w:space="720" w:num="1"/>
        </w:sectPr>
      </w:pPr>
    </w:p>
    <w:p>
      <w:pPr>
        <w:widowControl/>
        <w:tabs>
          <w:tab w:val="left" w:pos="2070"/>
          <w:tab w:val="center" w:pos="4365"/>
        </w:tabs>
        <w:snapToGrid w:val="0"/>
        <w:spacing w:line="360" w:lineRule="auto"/>
        <w:jc w:val="center"/>
        <w:outlineLvl w:val="0"/>
        <w:rPr>
          <w:color w:val="000000"/>
          <w:kern w:val="0"/>
          <w:sz w:val="28"/>
          <w:szCs w:val="32"/>
        </w:rPr>
      </w:pPr>
      <w:bookmarkStart w:id="56" w:name="_Toc21015"/>
      <w:r>
        <w:rPr>
          <w:color w:val="000000"/>
          <w:kern w:val="0"/>
          <w:sz w:val="28"/>
          <w:szCs w:val="32"/>
        </w:rPr>
        <w:t xml:space="preserve">第三部分  </w:t>
      </w:r>
      <w:bookmarkEnd w:id="55"/>
      <w:r>
        <w:rPr>
          <w:color w:val="000000"/>
          <w:kern w:val="0"/>
          <w:sz w:val="28"/>
          <w:szCs w:val="32"/>
        </w:rPr>
        <w:t>商务、技术要求</w:t>
      </w:r>
      <w:bookmarkEnd w:id="56"/>
      <w:bookmarkStart w:id="57" w:name="_Toc441155375"/>
      <w:bookmarkStart w:id="58" w:name="_Toc332044656"/>
      <w:bookmarkStart w:id="59" w:name="_Toc331440875"/>
      <w:bookmarkStart w:id="60" w:name="_Toc365102259"/>
    </w:p>
    <w:bookmarkEnd w:id="57"/>
    <w:bookmarkEnd w:id="58"/>
    <w:bookmarkEnd w:id="59"/>
    <w:bookmarkEnd w:id="60"/>
    <w:p>
      <w:pPr>
        <w:rPr>
          <w:b/>
          <w:bCs/>
          <w:color w:val="000000"/>
          <w:kern w:val="0"/>
          <w:sz w:val="24"/>
        </w:rPr>
      </w:pPr>
    </w:p>
    <w:p>
      <w:pPr>
        <w:snapToGrid w:val="0"/>
        <w:spacing w:line="360" w:lineRule="auto"/>
        <w:rPr>
          <w:b/>
          <w:color w:val="000000"/>
          <w:sz w:val="24"/>
        </w:rPr>
      </w:pPr>
      <w:r>
        <w:rPr>
          <w:b/>
          <w:color w:val="000000"/>
          <w:sz w:val="24"/>
        </w:rPr>
        <mc:AlternateContent>
          <mc:Choice Requires="wps">
            <w:drawing>
              <wp:inline distT="0" distB="0" distL="114300" distR="114300">
                <wp:extent cx="15240" cy="15240"/>
                <wp:effectExtent l="0" t="0" r="0" b="0"/>
                <wp:docPr id="15" name="矩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40" cy="15240"/>
                        </a:xfrm>
                        <a:prstGeom prst="rect">
                          <a:avLst/>
                        </a:prstGeom>
                        <a:noFill/>
                        <a:ln>
                          <a:noFill/>
                        </a:ln>
                      </wps:spPr>
                      <wps:bodyPr upright="1"/>
                    </wps:wsp>
                  </a:graphicData>
                </a:graphic>
              </wp:inline>
            </w:drawing>
          </mc:Choice>
          <mc:Fallback>
            <w:pict>
              <v:rect id="_x0000_s1026" o:spid="_x0000_s1026" o:spt="1" style="height:1.2pt;width:1.2pt;" filled="f" stroked="f" coordsize="21600,21600" o:gfxdata="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MMP+M0gAAAAEBAAAP&#10;AAAAAAAAAAEAIAAAACIAAABkcnMvZG93bnJldi54bWxQSwECFAAUAAAACACHTuJA3EVXxKwBAABh&#10;AwAADgAAAAAAAAABACAAAAAhAQAAZHJzL2Uyb0RvYy54bWxQSwUGAAAAAAYABgBZAQAAPwUAAAAA&#10;">
                <v:fill on="f" focussize="0,0"/>
                <v:stroke on="f"/>
                <v:imagedata o:title=""/>
                <o:lock v:ext="edit" aspectratio="t"/>
                <w10:wrap type="none"/>
                <w10:anchorlock/>
              </v:rect>
            </w:pict>
          </mc:Fallback>
        </mc:AlternateContent>
      </w:r>
      <w:bookmarkStart w:id="61" w:name="_Toc41927828"/>
      <w:r>
        <w:rPr>
          <w:rFonts w:hint="eastAsia"/>
          <w:b/>
          <w:color w:val="000000"/>
          <w:sz w:val="24"/>
        </w:rPr>
        <w:t>一、</w:t>
      </w:r>
      <w:bookmarkEnd w:id="61"/>
      <w:r>
        <w:rPr>
          <w:rFonts w:hint="eastAsia"/>
          <w:b/>
          <w:color w:val="000000"/>
          <w:sz w:val="24"/>
        </w:rPr>
        <w:t>项目概述</w:t>
      </w:r>
    </w:p>
    <w:p>
      <w:pPr>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为全面掌握</w:t>
      </w:r>
      <w:r>
        <w:rPr>
          <w:rFonts w:hint="eastAsia"/>
          <w:color w:val="000000" w:themeColor="text1"/>
          <w:kern w:val="0"/>
          <w:sz w:val="24"/>
          <w:lang w:eastAsia="zh-CN"/>
          <w14:textFill>
            <w14:solidFill>
              <w14:schemeClr w14:val="tx1"/>
            </w14:solidFill>
          </w14:textFill>
        </w:rPr>
        <w:t>迎泽区</w:t>
      </w:r>
      <w:r>
        <w:rPr>
          <w:rFonts w:hint="eastAsia"/>
          <w:color w:val="000000" w:themeColor="text1"/>
          <w:kern w:val="0"/>
          <w:sz w:val="24"/>
          <w14:textFill>
            <w14:solidFill>
              <w14:schemeClr w14:val="tx1"/>
            </w14:solidFill>
          </w14:textFill>
        </w:rPr>
        <w:t>食品安全现状，及时发现食品安全风险隐患，高标准高质量完成山西省市场监督管理局、太原市市场监督管理局安排的202</w:t>
      </w:r>
      <w:r>
        <w:rPr>
          <w:rFonts w:hint="eastAsia"/>
          <w:color w:val="000000" w:themeColor="text1"/>
          <w:kern w:val="0"/>
          <w:sz w:val="24"/>
          <w:lang w:val="en-US" w:eastAsia="zh-CN"/>
          <w14:textFill>
            <w14:solidFill>
              <w14:schemeClr w14:val="tx1"/>
            </w14:solidFill>
          </w14:textFill>
        </w:rPr>
        <w:t>4</w:t>
      </w:r>
      <w:r>
        <w:rPr>
          <w:rFonts w:hint="eastAsia"/>
          <w:color w:val="000000" w:themeColor="text1"/>
          <w:kern w:val="0"/>
          <w:sz w:val="24"/>
          <w14:textFill>
            <w14:solidFill>
              <w14:schemeClr w14:val="tx1"/>
            </w14:solidFill>
          </w14:textFill>
        </w:rPr>
        <w:t>年食品安全监督抽检工作任务，</w:t>
      </w:r>
      <w:r>
        <w:rPr>
          <w:rFonts w:hint="eastAsia"/>
          <w:color w:val="000000" w:themeColor="text1"/>
          <w:kern w:val="0"/>
          <w:sz w:val="24"/>
          <w:lang w:eastAsia="zh-CN"/>
          <w14:textFill>
            <w14:solidFill>
              <w14:schemeClr w14:val="tx1"/>
            </w14:solidFill>
          </w14:textFill>
        </w:rPr>
        <w:t>迎泽区</w:t>
      </w:r>
      <w:r>
        <w:rPr>
          <w:rFonts w:hint="eastAsia"/>
          <w:color w:val="000000" w:themeColor="text1"/>
          <w:kern w:val="0"/>
          <w:sz w:val="24"/>
          <w14:textFill>
            <w14:solidFill>
              <w14:schemeClr w14:val="tx1"/>
            </w14:solidFill>
          </w14:textFill>
        </w:rPr>
        <w:t>市场监督管理局拟进行202</w:t>
      </w:r>
      <w:r>
        <w:rPr>
          <w:rFonts w:hint="eastAsia"/>
          <w:color w:val="000000" w:themeColor="text1"/>
          <w:kern w:val="0"/>
          <w:sz w:val="24"/>
          <w:lang w:val="en-US" w:eastAsia="zh-CN"/>
          <w14:textFill>
            <w14:solidFill>
              <w14:schemeClr w14:val="tx1"/>
            </w14:solidFill>
          </w14:textFill>
        </w:rPr>
        <w:t>4</w:t>
      </w:r>
      <w:r>
        <w:rPr>
          <w:rFonts w:hint="eastAsia"/>
          <w:color w:val="000000" w:themeColor="text1"/>
          <w:kern w:val="0"/>
          <w:sz w:val="24"/>
          <w14:textFill>
            <w14:solidFill>
              <w14:schemeClr w14:val="tx1"/>
            </w14:solidFill>
          </w14:textFill>
        </w:rPr>
        <w:t>年度食品安全监督抽检服务机构磋商采购。</w:t>
      </w:r>
    </w:p>
    <w:p>
      <w:pPr>
        <w:snapToGrid w:val="0"/>
        <w:spacing w:line="360" w:lineRule="auto"/>
        <w:rPr>
          <w:b/>
          <w:color w:val="000000"/>
          <w:sz w:val="24"/>
        </w:rPr>
      </w:pPr>
      <w:r>
        <w:rPr>
          <w:rFonts w:hint="eastAsia"/>
          <w:b/>
          <w:color w:val="000000"/>
          <w:sz w:val="24"/>
        </w:rPr>
        <w:t>二、技术要求</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1.供应商有依技术服务合同执行的能力。</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2.供应商具备采样、送样能力，并有专业的采样队伍及检测队伍，对采取的样品，必须配置相应的设施设备，应满足样品标签明示的储运条件的设备。</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3.供应商具备填报信息系统的固定专业人员，能提供将检验结果填报信息系统的设施设备、专业人员及工作质量考评制度，能够完成食品安全抽检监测数据上报、汇总以及结果分析工作</w:t>
      </w:r>
      <w:bookmarkStart w:id="62" w:name="_Toc20151"/>
      <w:r>
        <w:rPr>
          <w:rFonts w:hint="eastAsia"/>
          <w:color w:val="000000" w:themeColor="text1"/>
          <w:kern w:val="0"/>
          <w:sz w:val="24"/>
          <w:highlight w:val="none"/>
          <w14:textFill>
            <w14:solidFill>
              <w14:schemeClr w14:val="tx1"/>
            </w14:solidFill>
          </w14:textFill>
        </w:rPr>
        <w:t>。</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4.供应商实验室应当具有与检验项目及检验能力相适应的人员、场所、仪器设施设备，并保证运行良好，有完整的仪器设备档案</w:t>
      </w:r>
      <w:bookmarkEnd w:id="62"/>
      <w:r>
        <w:rPr>
          <w:rFonts w:hint="eastAsia"/>
          <w:color w:val="000000" w:themeColor="text1"/>
          <w:kern w:val="0"/>
          <w:sz w:val="24"/>
          <w:highlight w:val="none"/>
          <w14:textFill>
            <w14:solidFill>
              <w14:schemeClr w14:val="tx1"/>
            </w14:solidFill>
          </w14:textFill>
        </w:rPr>
        <w:t>。</w:t>
      </w:r>
      <w:bookmarkStart w:id="63" w:name="_Toc30800"/>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5.供应商具有抽检方案制定、过程控制以及质量保证的能力，有相应的样品管理、档案管理制度及措施。</w:t>
      </w:r>
    </w:p>
    <w:bookmarkEnd w:id="63"/>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6.供应商采到样品15个工作日内出具检验报告，对抽检不合格样品的检验报告要当日寄送给迎泽区市场监督管理局。在检验过程中发现被检样品存在严重安全问题或较高风险问题的（如非法添加或可能危及人体健康的重要安全问题），要立即报告迎泽区市场监督管理局（另有约定的除外）。</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7.供应商应对抽检数据及企业信息保密，不得泄露、擅自使用或对外发布食品抽检结果。</w:t>
      </w:r>
    </w:p>
    <w:p>
      <w:pPr>
        <w:snapToGrid w:val="0"/>
        <w:spacing w:line="360" w:lineRule="auto"/>
        <w:ind w:firstLine="480" w:firstLineChars="200"/>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8.供应商提供完成本次抽检任务的项目管理方案和实施方案，包括人员调配、工作进度、工作措施等内容。</w:t>
      </w:r>
    </w:p>
    <w:p>
      <w:pPr>
        <w:snapToGrid w:val="0"/>
        <w:spacing w:line="360" w:lineRule="auto"/>
        <w:ind w:firstLine="480" w:firstLineChars="200"/>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9.供应商具有保障本次抽检任务所检项目数据准确、可靠的工作措施。</w:t>
      </w:r>
    </w:p>
    <w:p>
      <w:pPr>
        <w:snapToGrid w:val="0"/>
        <w:spacing w:line="360" w:lineRule="auto"/>
        <w:ind w:firstLine="480" w:firstLineChars="200"/>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10.供应商具有与本次抽检任务相适应的采样、储运设施及环境条件，需提供发票或固定资产证明文件。</w:t>
      </w:r>
    </w:p>
    <w:p>
      <w:pPr>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highlight w:val="none"/>
          <w14:textFill>
            <w14:solidFill>
              <w14:schemeClr w14:val="tx1"/>
            </w14:solidFill>
          </w14:textFill>
        </w:rPr>
        <w:t>11.供应商具有档案管理制度及措施，包括档案的安全、保密、使用等内容。</w:t>
      </w:r>
      <w:r>
        <w:rPr>
          <w:rFonts w:hint="eastAsia"/>
          <w:color w:val="000000" w:themeColor="text1"/>
          <w:kern w:val="0"/>
          <w:sz w:val="24"/>
          <w14:textFill>
            <w14:solidFill>
              <w14:schemeClr w14:val="tx1"/>
            </w14:solidFill>
          </w14:textFill>
        </w:rPr>
        <w:t>三、报价要求</w:t>
      </w:r>
    </w:p>
    <w:p>
      <w:pPr>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供应商应按照《</w:t>
      </w:r>
      <w:r>
        <w:rPr>
          <w:rFonts w:hint="eastAsia"/>
          <w:color w:val="000000" w:themeColor="text1"/>
          <w:kern w:val="0"/>
          <w:sz w:val="24"/>
          <w:lang w:val="en-US" w:eastAsia="zh-CN"/>
          <w14:textFill>
            <w14:solidFill>
              <w14:schemeClr w14:val="tx1"/>
            </w14:solidFill>
          </w14:textFill>
        </w:rPr>
        <w:t>2024年太原市迎泽区市场监督管理局监督抽检任务表</w:t>
      </w:r>
      <w:r>
        <w:rPr>
          <w:rFonts w:hint="eastAsia"/>
          <w:color w:val="000000" w:themeColor="text1"/>
          <w:kern w:val="0"/>
          <w:sz w:val="24"/>
          <w14:textFill>
            <w14:solidFill>
              <w14:schemeClr w14:val="tx1"/>
            </w14:solidFill>
          </w14:textFill>
        </w:rPr>
        <w:t>》中所涵盖的所有抽检产品分别报价，每种产品价格为所有抽检项目总和，以所有产品价格累加总额作为投标报价，该报价包含抽检产品采购费用。</w:t>
      </w:r>
    </w:p>
    <w:p>
      <w:pPr>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供应商报价价格比构成不合理、弄虚作假的，将否决其投标。</w:t>
      </w:r>
    </w:p>
    <w:p>
      <w:pPr>
        <w:snapToGrid w:val="0"/>
        <w:spacing w:line="360" w:lineRule="auto"/>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四、商务要求</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（一）验收标准</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1.签约前验收：采购人向</w:t>
      </w:r>
      <w:r>
        <w:rPr>
          <w:rFonts w:hint="eastAsia"/>
          <w:color w:val="000000" w:themeColor="text1"/>
          <w:kern w:val="0"/>
          <w:sz w:val="24"/>
          <w:highlight w:val="none"/>
          <w:lang w:val="en-US" w:eastAsia="zh-CN"/>
          <w14:textFill>
            <w14:solidFill>
              <w14:schemeClr w14:val="tx1"/>
            </w14:solidFill>
          </w14:textFill>
        </w:rPr>
        <w:t>成交供应商</w:t>
      </w:r>
      <w:r>
        <w:rPr>
          <w:rFonts w:hint="eastAsia"/>
          <w:color w:val="000000" w:themeColor="text1"/>
          <w:kern w:val="0"/>
          <w:sz w:val="24"/>
          <w:highlight w:val="none"/>
          <w14:textFill>
            <w14:solidFill>
              <w14:schemeClr w14:val="tx1"/>
            </w14:solidFill>
          </w14:textFill>
        </w:rPr>
        <w:t>申请实地勘察，</w:t>
      </w:r>
      <w:r>
        <w:rPr>
          <w:rFonts w:hint="eastAsia"/>
          <w:color w:val="000000" w:themeColor="text1"/>
          <w:kern w:val="0"/>
          <w:sz w:val="24"/>
          <w:highlight w:val="none"/>
          <w:lang w:val="en-US" w:eastAsia="zh-CN"/>
          <w14:textFill>
            <w14:solidFill>
              <w14:schemeClr w14:val="tx1"/>
            </w14:solidFill>
          </w14:textFill>
        </w:rPr>
        <w:t>成交供应商</w:t>
      </w:r>
      <w:r>
        <w:rPr>
          <w:rFonts w:hint="eastAsia"/>
          <w:color w:val="000000" w:themeColor="text1"/>
          <w:kern w:val="0"/>
          <w:sz w:val="24"/>
          <w:highlight w:val="none"/>
          <w14:textFill>
            <w14:solidFill>
              <w14:schemeClr w14:val="tx1"/>
            </w14:solidFill>
          </w14:textFill>
        </w:rPr>
        <w:t>须全力配合，采购人对与此次服务项目相关的仪器设备、人员、场地、制度、证件等相关信用资质真实性进行确认。</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2.当服务结束，并满足以下条件时，采购人向</w:t>
      </w:r>
      <w:r>
        <w:rPr>
          <w:rFonts w:hint="eastAsia"/>
          <w:color w:val="000000" w:themeColor="text1"/>
          <w:kern w:val="0"/>
          <w:sz w:val="24"/>
          <w:highlight w:val="none"/>
          <w:lang w:val="en-US" w:eastAsia="zh-CN"/>
          <w14:textFill>
            <w14:solidFill>
              <w14:schemeClr w14:val="tx1"/>
            </w14:solidFill>
          </w14:textFill>
        </w:rPr>
        <w:t>成交供应商</w:t>
      </w:r>
      <w:r>
        <w:rPr>
          <w:rFonts w:hint="eastAsia"/>
          <w:color w:val="000000" w:themeColor="text1"/>
          <w:kern w:val="0"/>
          <w:sz w:val="24"/>
          <w:highlight w:val="none"/>
          <w14:textFill>
            <w14:solidFill>
              <w14:schemeClr w14:val="tx1"/>
            </w14:solidFill>
          </w14:textFill>
        </w:rPr>
        <w:t>签发验收报告：</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（1）</w:t>
      </w:r>
      <w:r>
        <w:rPr>
          <w:rFonts w:hint="eastAsia"/>
          <w:color w:val="000000" w:themeColor="text1"/>
          <w:kern w:val="0"/>
          <w:sz w:val="24"/>
          <w:highlight w:val="none"/>
          <w:lang w:val="en-US" w:eastAsia="zh-CN"/>
          <w14:textFill>
            <w14:solidFill>
              <w14:schemeClr w14:val="tx1"/>
            </w14:solidFill>
          </w14:textFill>
        </w:rPr>
        <w:t>成交供应商</w:t>
      </w:r>
      <w:r>
        <w:rPr>
          <w:rFonts w:hint="eastAsia"/>
          <w:color w:val="000000" w:themeColor="text1"/>
          <w:kern w:val="0"/>
          <w:sz w:val="24"/>
          <w:highlight w:val="none"/>
          <w14:textFill>
            <w14:solidFill>
              <w14:schemeClr w14:val="tx1"/>
            </w14:solidFill>
          </w14:textFill>
        </w:rPr>
        <w:t>已按照合同约定要求提供了全部服务。</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（2）</w:t>
      </w:r>
      <w:r>
        <w:rPr>
          <w:rFonts w:hint="eastAsia"/>
          <w:color w:val="000000" w:themeColor="text1"/>
          <w:kern w:val="0"/>
          <w:sz w:val="24"/>
          <w:highlight w:val="none"/>
          <w:lang w:val="en-US" w:eastAsia="zh-CN"/>
          <w14:textFill>
            <w14:solidFill>
              <w14:schemeClr w14:val="tx1"/>
            </w14:solidFill>
          </w14:textFill>
        </w:rPr>
        <w:t>成交供应商</w:t>
      </w:r>
      <w:r>
        <w:rPr>
          <w:rFonts w:hint="eastAsia"/>
          <w:color w:val="000000" w:themeColor="text1"/>
          <w:kern w:val="0"/>
          <w:sz w:val="24"/>
          <w:highlight w:val="none"/>
          <w14:textFill>
            <w14:solidFill>
              <w14:schemeClr w14:val="tx1"/>
            </w14:solidFill>
          </w14:textFill>
        </w:rPr>
        <w:t>提供的服务符合磋商文件的服务要求。</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（二）服务要求</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1.承诺响应时间为采购人提出问题1小时内由专业人员响应，如有特殊情况需要，必须2小时内赶赴现场。</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2.服务期间，若有特殊情况发生，检测机构应向采购人提供解决问题所必要的免费升级方案和升级服务。</w:t>
      </w:r>
    </w:p>
    <w:p>
      <w:pPr>
        <w:snapToGrid w:val="0"/>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（三）付款方式</w:t>
      </w:r>
    </w:p>
    <w:p>
      <w:pPr>
        <w:snapToGrid w:val="0"/>
        <w:spacing w:line="360" w:lineRule="auto"/>
        <w:ind w:firstLine="480" w:firstLineChars="200"/>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服务结束后经</w:t>
      </w:r>
      <w:r>
        <w:rPr>
          <w:rFonts w:hint="eastAsia"/>
          <w:color w:val="000000" w:themeColor="text1"/>
          <w:kern w:val="0"/>
          <w:sz w:val="24"/>
          <w:highlight w:val="none"/>
          <w:lang w:val="en-US" w:eastAsia="zh-CN"/>
          <w14:textFill>
            <w14:solidFill>
              <w14:schemeClr w14:val="tx1"/>
            </w14:solidFill>
          </w14:textFill>
        </w:rPr>
        <w:t>采购人</w:t>
      </w:r>
      <w:r>
        <w:rPr>
          <w:rFonts w:hint="eastAsia"/>
          <w:color w:val="000000" w:themeColor="text1"/>
          <w:kern w:val="0"/>
          <w:sz w:val="24"/>
          <w:highlight w:val="none"/>
          <w14:textFill>
            <w14:solidFill>
              <w14:schemeClr w14:val="tx1"/>
            </w14:solidFill>
          </w14:textFill>
        </w:rPr>
        <w:t>验收合格，一次性</w:t>
      </w:r>
      <w:r>
        <w:rPr>
          <w:rFonts w:hint="eastAsia"/>
          <w:color w:val="000000" w:themeColor="text1"/>
          <w:kern w:val="0"/>
          <w:sz w:val="24"/>
          <w:highlight w:val="none"/>
          <w:lang w:val="en-US" w:eastAsia="zh-CN"/>
          <w14:textFill>
            <w14:solidFill>
              <w14:schemeClr w14:val="tx1"/>
            </w14:solidFill>
          </w14:textFill>
        </w:rPr>
        <w:t>付清</w:t>
      </w:r>
      <w:r>
        <w:rPr>
          <w:rFonts w:hint="eastAsia"/>
          <w:color w:val="000000" w:themeColor="text1"/>
          <w:kern w:val="0"/>
          <w:sz w:val="24"/>
          <w:highlight w:val="none"/>
          <w14:textFill>
            <w14:solidFill>
              <w14:schemeClr w14:val="tx1"/>
            </w14:solidFill>
          </w14:textFill>
        </w:rPr>
        <w:t>。</w:t>
      </w:r>
    </w:p>
    <w:p>
      <w:pPr>
        <w:widowControl/>
        <w:snapToGrid w:val="0"/>
        <w:spacing w:line="360" w:lineRule="auto"/>
        <w:jc w:val="left"/>
        <w:rPr>
          <w:color w:val="000000"/>
          <w:sz w:val="24"/>
          <w:highlight w:val="none"/>
        </w:rPr>
      </w:pPr>
      <w:r>
        <w:rPr>
          <w:rFonts w:hint="eastAsia"/>
          <w:color w:val="000000"/>
          <w:sz w:val="24"/>
          <w:highlight w:val="none"/>
        </w:rPr>
        <w:t>五、其他</w:t>
      </w:r>
    </w:p>
    <w:p>
      <w:pPr>
        <w:snapToGrid w:val="0"/>
        <w:spacing w:line="360" w:lineRule="auto"/>
        <w:ind w:firstLine="480" w:firstLineChars="200"/>
        <w:rPr>
          <w:rFonts w:hint="eastAsia"/>
          <w:color w:val="000000" w:themeColor="text1"/>
          <w:kern w:val="0"/>
          <w:sz w:val="24"/>
          <w14:textFill>
            <w14:solidFill>
              <w14:schemeClr w14:val="tx1"/>
            </w14:solidFill>
          </w14:textFill>
        </w:rPr>
      </w:pPr>
      <w:r>
        <w:rPr>
          <w:rFonts w:hint="eastAsia"/>
          <w:color w:val="000000" w:themeColor="text1"/>
          <w:kern w:val="0"/>
          <w:sz w:val="24"/>
          <w:lang w:val="en-US" w:eastAsia="zh-CN"/>
          <w14:textFill>
            <w14:solidFill>
              <w14:schemeClr w14:val="tx1"/>
            </w14:solidFill>
          </w14:textFill>
        </w:rPr>
        <w:t>1.</w:t>
      </w:r>
      <w:r>
        <w:rPr>
          <w:rFonts w:hint="eastAsia"/>
          <w:color w:val="000000" w:themeColor="text1"/>
          <w:kern w:val="0"/>
          <w:sz w:val="24"/>
          <w14:textFill>
            <w14:solidFill>
              <w14:schemeClr w14:val="tx1"/>
            </w14:solidFill>
          </w14:textFill>
        </w:rPr>
        <w:t>第7包为“你点我检”专项，包含4次现场活动，涉及到调查问卷、资料统计、现场食品快检、“你点我检”科普宣传视频制作。</w:t>
      </w:r>
    </w:p>
    <w:p>
      <w:pPr>
        <w:snapToGrid w:val="0"/>
        <w:spacing w:line="360" w:lineRule="auto"/>
        <w:ind w:firstLine="480" w:firstLineChars="200"/>
        <w:rPr>
          <w:rFonts w:hint="eastAsia"/>
          <w:color w:val="000000" w:themeColor="text1"/>
          <w:kern w:val="0"/>
          <w:sz w:val="24"/>
          <w:lang w:eastAsia="zh-CN"/>
          <w14:textFill>
            <w14:solidFill>
              <w14:schemeClr w14:val="tx1"/>
            </w14:solidFill>
          </w14:textFill>
        </w:rPr>
      </w:pPr>
      <w:r>
        <w:rPr>
          <w:rFonts w:hint="eastAsia"/>
          <w:color w:val="000000" w:themeColor="text1"/>
          <w:kern w:val="0"/>
          <w:sz w:val="24"/>
          <w:lang w:val="en-US" w:eastAsia="zh-CN"/>
          <w14:textFill>
            <w14:solidFill>
              <w14:schemeClr w14:val="tx1"/>
            </w14:solidFill>
          </w14:textFill>
        </w:rPr>
        <w:t>2.</w:t>
      </w:r>
      <w:r>
        <w:rPr>
          <w:rFonts w:hint="eastAsia"/>
          <w:color w:val="000000" w:themeColor="text1"/>
          <w:kern w:val="0"/>
          <w:sz w:val="24"/>
          <w14:textFill>
            <w14:solidFill>
              <w14:schemeClr w14:val="tx1"/>
            </w14:solidFill>
          </w14:textFill>
        </w:rPr>
        <w:t>第1、2、3包食用农产品的必检品种需全覆盖</w:t>
      </w:r>
      <w:r>
        <w:rPr>
          <w:rFonts w:hint="eastAsia"/>
          <w:color w:val="000000" w:themeColor="text1"/>
          <w:kern w:val="0"/>
          <w:sz w:val="24"/>
          <w:lang w:eastAsia="zh-CN"/>
          <w14:textFill>
            <w14:solidFill>
              <w14:schemeClr w14:val="tx1"/>
            </w14:solidFill>
          </w14:textFill>
        </w:rPr>
        <w:t>。</w:t>
      </w:r>
    </w:p>
    <w:p>
      <w:pPr>
        <w:snapToGrid w:val="0"/>
        <w:spacing w:line="360" w:lineRule="auto"/>
        <w:ind w:firstLine="480" w:firstLineChars="200"/>
        <w:rPr>
          <w:rFonts w:hint="default"/>
          <w:color w:val="000000" w:themeColor="text1"/>
          <w:kern w:val="0"/>
          <w:sz w:val="24"/>
          <w:lang w:val="en-US" w:eastAsia="zh-CN"/>
          <w14:textFill>
            <w14:solidFill>
              <w14:schemeClr w14:val="tx1"/>
            </w14:solidFill>
          </w14:textFill>
        </w:rPr>
      </w:pPr>
      <w:r>
        <w:rPr>
          <w:rFonts w:hint="eastAsia"/>
          <w:color w:val="000000" w:themeColor="text1"/>
          <w:kern w:val="0"/>
          <w:sz w:val="24"/>
          <w:lang w:val="en-US" w:eastAsia="zh-CN"/>
          <w14:textFill>
            <w14:solidFill>
              <w14:schemeClr w14:val="tx1"/>
            </w14:solidFill>
          </w14:textFill>
        </w:rPr>
        <w:t>3.根据抽检工作具体要求的变动和进展情况，采购人可对抽检计划进行适当调整和补充。</w:t>
      </w:r>
    </w:p>
    <w:p>
      <w:pPr>
        <w:rPr>
          <w:b/>
          <w:bCs/>
          <w:color w:val="000000"/>
          <w:kern w:val="0"/>
          <w:sz w:val="24"/>
        </w:rPr>
      </w:pPr>
      <w:r>
        <w:rPr>
          <w:b/>
          <w:bCs/>
          <w:color w:val="000000"/>
          <w:kern w:val="0"/>
          <w:sz w:val="24"/>
        </w:rPr>
        <w:br w:type="page"/>
      </w:r>
    </w:p>
    <w:p>
      <w:pPr>
        <w:rPr>
          <w:b/>
          <w:bCs/>
          <w:color w:val="000000"/>
          <w:kern w:val="0"/>
          <w:sz w:val="24"/>
        </w:rPr>
      </w:pPr>
    </w:p>
    <w:p>
      <w:pPr>
        <w:widowControl/>
        <w:tabs>
          <w:tab w:val="left" w:pos="2070"/>
          <w:tab w:val="center" w:pos="4365"/>
        </w:tabs>
        <w:snapToGrid w:val="0"/>
        <w:spacing w:line="360" w:lineRule="auto"/>
        <w:jc w:val="center"/>
        <w:outlineLvl w:val="0"/>
        <w:rPr>
          <w:color w:val="000000"/>
          <w:kern w:val="0"/>
          <w:sz w:val="28"/>
          <w:szCs w:val="32"/>
        </w:rPr>
      </w:pPr>
      <w:bookmarkStart w:id="64" w:name="_Toc10488"/>
      <w:r>
        <w:rPr>
          <w:color w:val="000000"/>
          <w:kern w:val="0"/>
          <w:sz w:val="28"/>
          <w:szCs w:val="32"/>
        </w:rPr>
        <w:t>第四部分  合同原则</w:t>
      </w:r>
      <w:bookmarkEnd w:id="64"/>
    </w:p>
    <w:p>
      <w:pPr>
        <w:widowControl/>
        <w:snapToGrid w:val="0"/>
        <w:spacing w:line="360" w:lineRule="auto"/>
        <w:jc w:val="center"/>
        <w:rPr>
          <w:color w:val="000000"/>
          <w:kern w:val="0"/>
          <w:sz w:val="24"/>
        </w:rPr>
      </w:pPr>
      <w:bookmarkStart w:id="65" w:name="_Toc175644061"/>
    </w:p>
    <w:p>
      <w:pPr>
        <w:snapToGrid w:val="0"/>
        <w:spacing w:line="360" w:lineRule="auto"/>
        <w:jc w:val="center"/>
        <w:rPr>
          <w:rFonts w:hint="default" w:ascii="Times New Roman" w:hAnsi="Times New Roman" w:cs="Times New Roman"/>
          <w:color w:val="000000"/>
          <w:szCs w:val="21"/>
          <w:highlight w:val="none"/>
          <w:lang w:bidi="en-US"/>
        </w:rPr>
      </w:pPr>
      <w:r>
        <w:rPr>
          <w:rFonts w:hint="default" w:ascii="Times New Roman" w:hAnsi="Times New Roman" w:cs="Times New Roman"/>
          <w:color w:val="000000"/>
          <w:szCs w:val="21"/>
          <w:highlight w:val="none"/>
          <w:lang w:bidi="en-US"/>
        </w:rPr>
        <w:t>最终版以双方</w:t>
      </w:r>
      <w:r>
        <w:rPr>
          <w:rFonts w:hint="eastAsia" w:cs="Times New Roman"/>
          <w:color w:val="000000"/>
          <w:szCs w:val="21"/>
          <w:highlight w:val="none"/>
          <w:lang w:val="en-US" w:eastAsia="zh-CN" w:bidi="en-US"/>
        </w:rPr>
        <w:t>签署</w:t>
      </w:r>
      <w:r>
        <w:rPr>
          <w:rFonts w:hint="default" w:ascii="Times New Roman" w:hAnsi="Times New Roman" w:cs="Times New Roman"/>
          <w:color w:val="000000"/>
          <w:szCs w:val="21"/>
          <w:highlight w:val="none"/>
          <w:lang w:bidi="en-US"/>
        </w:rPr>
        <w:t>为准</w:t>
      </w:r>
    </w:p>
    <w:p>
      <w:pPr>
        <w:suppressAutoHyphens/>
        <w:snapToGrid w:val="0"/>
        <w:spacing w:line="360" w:lineRule="auto"/>
        <w:ind w:firstLine="480" w:firstLineChars="200"/>
        <w:rPr>
          <w:rFonts w:hint="default" w:ascii="Times New Roman" w:hAnsi="Times New Roman" w:cs="Times New Roman"/>
          <w:b w:val="0"/>
          <w:bCs/>
          <w:sz w:val="24"/>
        </w:rPr>
      </w:pPr>
      <w:r>
        <w:rPr>
          <w:rFonts w:hint="default" w:ascii="Times New Roman" w:hAnsi="Times New Roman" w:cs="Times New Roman"/>
          <w:b w:val="0"/>
          <w:bCs/>
          <w:sz w:val="24"/>
        </w:rPr>
        <w:t>需       方：</w:t>
      </w:r>
    </w:p>
    <w:p>
      <w:pPr>
        <w:suppressAutoHyphens/>
        <w:snapToGrid w:val="0"/>
        <w:spacing w:line="360" w:lineRule="auto"/>
        <w:ind w:firstLine="480" w:firstLineChars="200"/>
        <w:rPr>
          <w:rFonts w:hint="default" w:ascii="Times New Roman" w:hAnsi="Times New Roman" w:cs="Times New Roman"/>
          <w:b w:val="0"/>
          <w:bCs/>
          <w:sz w:val="24"/>
        </w:rPr>
      </w:pPr>
      <w:r>
        <w:rPr>
          <w:rFonts w:hint="default" w:ascii="Times New Roman" w:hAnsi="Times New Roman" w:cs="Times New Roman"/>
          <w:b w:val="0"/>
          <w:bCs/>
          <w:sz w:val="24"/>
        </w:rPr>
        <w:t>供       方：</w:t>
      </w:r>
    </w:p>
    <w:p>
      <w:pPr>
        <w:pStyle w:val="17"/>
        <w:suppressAutoHyphens/>
        <w:snapToGrid w:val="0"/>
        <w:spacing w:line="360" w:lineRule="auto"/>
        <w:ind w:left="0" w:leftChars="0" w:firstLine="478" w:firstLineChars="196"/>
        <w:rPr>
          <w:rFonts w:hint="default" w:ascii="Times New Roman" w:hAnsi="Times New Roman" w:cs="Times New Roman"/>
        </w:rPr>
      </w:pPr>
      <w:r>
        <w:rPr>
          <w:rFonts w:hint="default" w:ascii="Times New Roman" w:hAnsi="Times New Roman" w:cs="Times New Roman"/>
        </w:rPr>
        <w:t>供方在</w:t>
      </w:r>
      <w:r>
        <w:rPr>
          <w:rFonts w:hint="default" w:ascii="Times New Roman" w:hAnsi="Times New Roman" w:cs="Times New Roman"/>
          <w:u w:val="single"/>
          <w:lang w:val="en-US" w:eastAsia="zh-CN"/>
        </w:rPr>
        <w:t xml:space="preserve">   </w:t>
      </w:r>
      <w:r>
        <w:rPr>
          <w:rFonts w:hint="default" w:ascii="Times New Roman" w:hAnsi="Times New Roman" w:cs="Times New Roman"/>
        </w:rPr>
        <w:t>年</w:t>
      </w:r>
      <w:r>
        <w:rPr>
          <w:rFonts w:hint="default" w:ascii="Times New Roman" w:hAnsi="Times New Roman" w:cs="Times New Roman"/>
          <w:u w:val="single"/>
          <w:lang w:val="en-US" w:eastAsia="zh-CN"/>
        </w:rPr>
        <w:t xml:space="preserve">  </w:t>
      </w:r>
      <w:r>
        <w:rPr>
          <w:rFonts w:hint="default" w:ascii="Times New Roman" w:hAnsi="Times New Roman" w:cs="Times New Roman"/>
        </w:rPr>
        <w:t>月</w:t>
      </w:r>
      <w:r>
        <w:rPr>
          <w:rFonts w:hint="default" w:ascii="Times New Roman" w:hAnsi="Times New Roman" w:cs="Times New Roman"/>
          <w:u w:val="single"/>
          <w:lang w:val="en-US" w:eastAsia="zh-CN"/>
        </w:rPr>
        <w:t xml:space="preserve">  </w:t>
      </w:r>
      <w:r>
        <w:rPr>
          <w:rFonts w:hint="default" w:ascii="Times New Roman" w:hAnsi="Times New Roman" w:cs="Times New Roman"/>
        </w:rPr>
        <w:t>日</w:t>
      </w:r>
      <w:r>
        <w:rPr>
          <w:rFonts w:hint="default" w:ascii="Times New Roman" w:hAnsi="Times New Roman" w:cs="Times New Roman"/>
          <w:u w:val="single"/>
          <w:lang w:val="en-US" w:eastAsia="zh-CN"/>
        </w:rPr>
        <w:t xml:space="preserve">    </w:t>
      </w:r>
      <w:r>
        <w:rPr>
          <w:rFonts w:hint="default" w:ascii="Times New Roman" w:hAnsi="Times New Roman" w:cs="Times New Roman"/>
        </w:rPr>
        <w:t>组织的项目编号为</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rPr>
        <w:t>的</w:t>
      </w:r>
      <w:r>
        <w:rPr>
          <w:rFonts w:hint="default" w:ascii="Times New Roman" w:hAnsi="Times New Roman" w:cs="Times New Roman"/>
          <w:u w:val="single"/>
          <w:lang w:val="en-US" w:eastAsia="zh-CN"/>
        </w:rPr>
        <w:t xml:space="preserve">        </w:t>
      </w:r>
      <w:r>
        <w:rPr>
          <w:rFonts w:hint="default" w:ascii="Times New Roman" w:hAnsi="Times New Roman" w:cs="Times New Roman"/>
        </w:rPr>
        <w:t>项目采购中被确定为中标人，经双方协商一致，签订本合同。</w:t>
      </w:r>
    </w:p>
    <w:p>
      <w:pPr>
        <w:suppressAutoHyphens/>
        <w:snapToGrid w:val="0"/>
        <w:spacing w:line="360" w:lineRule="auto"/>
        <w:ind w:firstLine="480" w:firstLineChars="200"/>
        <w:rPr>
          <w:rFonts w:hint="default" w:ascii="Times New Roman" w:hAnsi="Times New Roman" w:cs="Times New Roman"/>
          <w:sz w:val="24"/>
        </w:rPr>
      </w:pPr>
      <w:bookmarkStart w:id="66" w:name="_Toc326248000"/>
      <w:r>
        <w:rPr>
          <w:rFonts w:hint="default" w:ascii="Times New Roman" w:hAnsi="Times New Roman" w:cs="Times New Roman"/>
          <w:sz w:val="24"/>
        </w:rPr>
        <w:t>一、服务条款</w:t>
      </w:r>
      <w:bookmarkEnd w:id="66"/>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供方向需方提供    服务</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（具体服务内容、技术要求及服务期限等见附件）</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所报费用应包括完成服务总体费用。</w:t>
      </w:r>
    </w:p>
    <w:p>
      <w:pPr>
        <w:suppressAutoHyphens/>
        <w:snapToGrid w:val="0"/>
        <w:spacing w:line="360" w:lineRule="auto"/>
        <w:ind w:firstLine="480" w:firstLineChars="200"/>
        <w:rPr>
          <w:rFonts w:hint="default" w:ascii="Times New Roman" w:hAnsi="Times New Roman" w:cs="Times New Roman"/>
          <w:sz w:val="24"/>
        </w:rPr>
      </w:pPr>
      <w:bookmarkStart w:id="67" w:name="_Toc326248001"/>
      <w:r>
        <w:rPr>
          <w:rFonts w:hint="default" w:ascii="Times New Roman" w:hAnsi="Times New Roman" w:cs="Times New Roman"/>
          <w:sz w:val="24"/>
        </w:rPr>
        <w:t>二、合同总金额:</w:t>
      </w:r>
      <w:bookmarkEnd w:id="67"/>
    </w:p>
    <w:p>
      <w:pPr>
        <w:suppressAutoHyphens/>
        <w:snapToGrid w:val="0"/>
        <w:spacing w:line="360" w:lineRule="auto"/>
        <w:ind w:firstLine="480" w:firstLineChars="200"/>
        <w:rPr>
          <w:rFonts w:hint="default" w:ascii="Times New Roman" w:hAnsi="Times New Roman" w:cs="Times New Roman"/>
          <w:b w:val="0"/>
          <w:bCs w:val="0"/>
          <w:sz w:val="24"/>
        </w:rPr>
      </w:pPr>
      <w:r>
        <w:rPr>
          <w:rFonts w:hint="default" w:ascii="Times New Roman" w:hAnsi="Times New Roman" w:cs="Times New Roman"/>
          <w:b w:val="0"/>
          <w:bCs w:val="0"/>
          <w:sz w:val="24"/>
        </w:rPr>
        <w:t>人民币（大写）：</w:t>
      </w:r>
    </w:p>
    <w:p>
      <w:pPr>
        <w:suppressAutoHyphens/>
        <w:snapToGrid w:val="0"/>
        <w:spacing w:line="360" w:lineRule="auto"/>
        <w:ind w:firstLine="1200" w:firstLineChars="500"/>
        <w:rPr>
          <w:rFonts w:hint="default" w:ascii="Times New Roman" w:hAnsi="Times New Roman" w:cs="Times New Roman"/>
          <w:sz w:val="24"/>
        </w:rPr>
      </w:pPr>
      <w:r>
        <w:rPr>
          <w:rFonts w:hint="default" w:ascii="Times New Roman" w:hAnsi="Times New Roman" w:cs="Times New Roman"/>
          <w:sz w:val="24"/>
        </w:rPr>
        <w:t>（小写）：￥</w:t>
      </w:r>
    </w:p>
    <w:p>
      <w:pPr>
        <w:suppressAutoHyphens/>
        <w:snapToGrid w:val="0"/>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sz w:val="24"/>
        </w:rPr>
        <w:t>此价格为合同执行不变价，不因国家政策变化而变化。</w:t>
      </w:r>
    </w:p>
    <w:p>
      <w:pPr>
        <w:suppressAutoHyphens/>
        <w:snapToGrid w:val="0"/>
        <w:spacing w:line="360" w:lineRule="auto"/>
        <w:ind w:firstLine="480" w:firstLineChars="200"/>
        <w:rPr>
          <w:rFonts w:hint="default" w:ascii="Times New Roman" w:hAnsi="Times New Roman" w:cs="Times New Roman"/>
          <w:sz w:val="24"/>
        </w:rPr>
      </w:pPr>
      <w:bookmarkStart w:id="68" w:name="_Toc326248002"/>
      <w:r>
        <w:rPr>
          <w:rFonts w:hint="default" w:ascii="Times New Roman" w:hAnsi="Times New Roman" w:cs="Times New Roman"/>
          <w:sz w:val="24"/>
        </w:rPr>
        <w:t>三、款项支付</w:t>
      </w:r>
      <w:bookmarkEnd w:id="68"/>
    </w:p>
    <w:p>
      <w:pPr>
        <w:suppressAutoHyphens/>
        <w:snapToGrid w:val="0"/>
        <w:spacing w:line="360" w:lineRule="auto"/>
        <w:ind w:firstLine="480" w:firstLineChars="200"/>
        <w:rPr>
          <w:rFonts w:hint="default" w:ascii="Times New Roman" w:hAnsi="Times New Roman" w:cs="Times New Roman"/>
          <w:sz w:val="24"/>
        </w:rPr>
      </w:pPr>
      <w:bookmarkStart w:id="69" w:name="_Toc326248003"/>
      <w:r>
        <w:rPr>
          <w:rFonts w:hint="default" w:ascii="Times New Roman" w:hAnsi="Times New Roman" w:cs="Times New Roman"/>
          <w:sz w:val="24"/>
        </w:rPr>
        <w:t>四、服务及承诺</w:t>
      </w:r>
      <w:bookmarkEnd w:id="69"/>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供方向需方承诺：</w:t>
      </w:r>
    </w:p>
    <w:p>
      <w:pPr>
        <w:suppressAutoHyphens/>
        <w:snapToGrid w:val="0"/>
        <w:spacing w:line="360" w:lineRule="auto"/>
        <w:ind w:firstLine="480" w:firstLineChars="200"/>
        <w:rPr>
          <w:rFonts w:hint="default" w:ascii="Times New Roman" w:hAnsi="Times New Roman" w:cs="Times New Roman"/>
          <w:sz w:val="24"/>
        </w:rPr>
      </w:pPr>
      <w:bookmarkStart w:id="70" w:name="_Toc326248004"/>
      <w:r>
        <w:rPr>
          <w:rFonts w:hint="default" w:ascii="Times New Roman" w:hAnsi="Times New Roman" w:cs="Times New Roman"/>
          <w:sz w:val="24"/>
        </w:rPr>
        <w:t>五、</w:t>
      </w:r>
      <w:bookmarkEnd w:id="70"/>
      <w:r>
        <w:rPr>
          <w:rFonts w:hint="default" w:ascii="Times New Roman" w:hAnsi="Times New Roman" w:cs="Times New Roman"/>
          <w:sz w:val="24"/>
        </w:rPr>
        <w:t>服务期限</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1、服务完成时间：</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2、服务完成地点：</w:t>
      </w:r>
    </w:p>
    <w:p>
      <w:pPr>
        <w:suppressAutoHyphens/>
        <w:snapToGrid w:val="0"/>
        <w:spacing w:line="360" w:lineRule="auto"/>
        <w:ind w:firstLine="480" w:firstLineChars="200"/>
        <w:rPr>
          <w:rFonts w:hint="default" w:ascii="Times New Roman" w:hAnsi="Times New Roman" w:cs="Times New Roman"/>
          <w:sz w:val="24"/>
        </w:rPr>
      </w:pPr>
      <w:bookmarkStart w:id="71" w:name="_Toc326248005"/>
      <w:r>
        <w:rPr>
          <w:rFonts w:hint="default" w:ascii="Times New Roman" w:hAnsi="Times New Roman" w:cs="Times New Roman"/>
          <w:sz w:val="24"/>
        </w:rPr>
        <w:t>六、交验</w:t>
      </w:r>
      <w:bookmarkEnd w:id="71"/>
    </w:p>
    <w:p>
      <w:pPr>
        <w:suppressAutoHyphens/>
        <w:snapToGrid w:val="0"/>
        <w:spacing w:line="360" w:lineRule="auto"/>
        <w:ind w:firstLine="480" w:firstLineChars="200"/>
        <w:rPr>
          <w:rFonts w:hint="default" w:ascii="Times New Roman" w:hAnsi="Times New Roman" w:cs="Times New Roman"/>
          <w:sz w:val="24"/>
        </w:rPr>
      </w:pPr>
      <w:bookmarkStart w:id="72" w:name="_Toc326248006"/>
      <w:r>
        <w:rPr>
          <w:rFonts w:hint="default" w:ascii="Times New Roman" w:hAnsi="Times New Roman" w:cs="Times New Roman"/>
          <w:sz w:val="24"/>
        </w:rPr>
        <w:t>七、需方责任</w:t>
      </w:r>
      <w:bookmarkEnd w:id="72"/>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1、组织验收并及时办理付款手续。</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2、负责提供工作场地，协助供方办理有关事宜。</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3、对合同条款及价格负有保密义务。</w:t>
      </w:r>
    </w:p>
    <w:p>
      <w:pPr>
        <w:suppressAutoHyphens/>
        <w:snapToGrid w:val="0"/>
        <w:spacing w:line="360" w:lineRule="auto"/>
        <w:ind w:firstLine="480" w:firstLineChars="200"/>
        <w:rPr>
          <w:rFonts w:hint="default" w:ascii="Times New Roman" w:hAnsi="Times New Roman" w:cs="Times New Roman"/>
          <w:sz w:val="24"/>
        </w:rPr>
      </w:pPr>
      <w:bookmarkStart w:id="73" w:name="_Toc326248007"/>
      <w:r>
        <w:rPr>
          <w:rFonts w:hint="default" w:ascii="Times New Roman" w:hAnsi="Times New Roman" w:cs="Times New Roman"/>
          <w:sz w:val="24"/>
        </w:rPr>
        <w:t>八、供方责任</w:t>
      </w:r>
      <w:bookmarkEnd w:id="73"/>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1、保证所供服务均为本次招标活动最终承诺服务，符合相关质量标准。</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w:t>
      </w:r>
    </w:p>
    <w:p>
      <w:pPr>
        <w:suppressAutoHyphens/>
        <w:snapToGrid w:val="0"/>
        <w:spacing w:line="360" w:lineRule="auto"/>
        <w:ind w:firstLine="480" w:firstLineChars="200"/>
        <w:rPr>
          <w:rFonts w:hint="default" w:ascii="Times New Roman" w:hAnsi="Times New Roman" w:cs="Times New Roman"/>
          <w:sz w:val="24"/>
        </w:rPr>
      </w:pPr>
      <w:bookmarkStart w:id="74" w:name="_Toc326248008"/>
      <w:r>
        <w:rPr>
          <w:rFonts w:hint="default" w:ascii="Times New Roman" w:hAnsi="Times New Roman" w:cs="Times New Roman"/>
          <w:sz w:val="24"/>
        </w:rPr>
        <w:t>九、违约责任</w:t>
      </w:r>
      <w:bookmarkEnd w:id="74"/>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1、需方无正当理由拒付款项的，需方向供方赔偿合同总额2%的违约金。</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w:t>
      </w:r>
      <w:bookmarkStart w:id="75" w:name="_Toc326248009"/>
      <w:r>
        <w:rPr>
          <w:rFonts w:hint="default" w:ascii="Times New Roman" w:hAnsi="Times New Roman" w:cs="Times New Roman"/>
          <w:sz w:val="24"/>
        </w:rPr>
        <w:t>……</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十、不可抗力</w:t>
      </w:r>
      <w:bookmarkEnd w:id="75"/>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需双方的任何一方由于不可抗力的原因不能履行合同时，应及时向对方通报不能履行或不能完全履行理由；在取得有关主管机关证明以后，允许延期履行、部分履行或者不履行合同，并根据情况可部分或全部免予承担违约责任。</w:t>
      </w:r>
    </w:p>
    <w:p>
      <w:pPr>
        <w:suppressAutoHyphens/>
        <w:snapToGrid w:val="0"/>
        <w:spacing w:line="360" w:lineRule="auto"/>
        <w:ind w:firstLine="480" w:firstLineChars="200"/>
        <w:rPr>
          <w:rFonts w:hint="default" w:ascii="Times New Roman" w:hAnsi="Times New Roman" w:cs="Times New Roman"/>
          <w:sz w:val="24"/>
        </w:rPr>
      </w:pPr>
      <w:bookmarkStart w:id="76" w:name="_Toc326248010"/>
      <w:r>
        <w:rPr>
          <w:rFonts w:hint="default" w:ascii="Times New Roman" w:hAnsi="Times New Roman" w:cs="Times New Roman"/>
          <w:sz w:val="24"/>
        </w:rPr>
        <w:t>十一、争议解决</w:t>
      </w:r>
      <w:bookmarkEnd w:id="76"/>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供需双方在执行合同中发生争议，应通过协商解决。如协商不成，可以向合同签署所在地法院提出诉讼。</w:t>
      </w:r>
    </w:p>
    <w:p>
      <w:pPr>
        <w:suppressAutoHyphens/>
        <w:snapToGrid w:val="0"/>
        <w:spacing w:line="360" w:lineRule="auto"/>
        <w:ind w:firstLine="480" w:firstLineChars="200"/>
        <w:rPr>
          <w:rFonts w:hint="default" w:ascii="Times New Roman" w:hAnsi="Times New Roman" w:cs="Times New Roman"/>
          <w:sz w:val="24"/>
        </w:rPr>
      </w:pPr>
      <w:bookmarkStart w:id="77" w:name="_Toc326248011"/>
      <w:r>
        <w:rPr>
          <w:rFonts w:hint="default" w:ascii="Times New Roman" w:hAnsi="Times New Roman" w:cs="Times New Roman"/>
          <w:sz w:val="24"/>
        </w:rPr>
        <w:t>十二、合同生效及其他</w:t>
      </w:r>
      <w:bookmarkEnd w:id="77"/>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1、合同由供、需双方代表签章确认后，即行生效。</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2、本合同一式四份，需方三份，其中两份分别到财政部门和有关部门备案，供方壹份。</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3、合同执行过程中出现的未尽事宜，双方在不违背合同和磋商文件的前提下协商解决。协商结果以“纪要”形式作为合同附件，与合同具有同等效力。</w:t>
      </w:r>
    </w:p>
    <w:p>
      <w:pPr>
        <w:suppressAutoHyphens/>
        <w:snapToGrid w:val="0"/>
        <w:spacing w:line="360" w:lineRule="auto"/>
        <w:ind w:firstLine="480" w:firstLineChars="200"/>
        <w:rPr>
          <w:rFonts w:hint="default" w:ascii="Times New Roman" w:hAnsi="Times New Roman" w:cs="Times New Roman"/>
          <w:sz w:val="24"/>
        </w:rPr>
      </w:pPr>
      <w:bookmarkStart w:id="78" w:name="_Toc326248012"/>
      <w:r>
        <w:rPr>
          <w:rFonts w:hint="default" w:ascii="Times New Roman" w:hAnsi="Times New Roman" w:cs="Times New Roman"/>
          <w:sz w:val="24"/>
        </w:rPr>
        <w:t>十三、下列文件为本合同不可分割部分</w:t>
      </w:r>
      <w:bookmarkEnd w:id="78"/>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1、磋商文件</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2、投标文件</w:t>
      </w:r>
    </w:p>
    <w:p>
      <w:pPr>
        <w:suppressAutoHyphens/>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3、供应商所做的其他承诺</w:t>
      </w:r>
    </w:p>
    <w:p>
      <w:pPr>
        <w:widowControl/>
        <w:suppressAutoHyphens/>
        <w:snapToGrid w:val="0"/>
        <w:spacing w:line="360" w:lineRule="auto"/>
        <w:jc w:val="left"/>
        <w:rPr>
          <w:rFonts w:hint="default" w:ascii="Times New Roman" w:hAnsi="Times New Roman" w:cs="Times New Roman"/>
          <w:color w:val="000000"/>
          <w:kern w:val="0"/>
          <w:sz w:val="24"/>
        </w:rPr>
      </w:pPr>
    </w:p>
    <w:p>
      <w:pPr>
        <w:widowControl/>
        <w:suppressAutoHyphens/>
        <w:snapToGrid w:val="0"/>
        <w:spacing w:line="360" w:lineRule="auto"/>
        <w:jc w:val="left"/>
        <w:rPr>
          <w:rFonts w:hint="default" w:ascii="Times New Roman" w:hAnsi="Times New Roman" w:cs="Times New Roman"/>
          <w:b w:val="0"/>
          <w:bCs w:val="0"/>
          <w:color w:val="000000"/>
          <w:kern w:val="0"/>
          <w:sz w:val="24"/>
        </w:rPr>
      </w:pPr>
      <w:r>
        <w:rPr>
          <w:rFonts w:hint="default" w:ascii="Times New Roman" w:hAnsi="Times New Roman" w:cs="Times New Roman"/>
          <w:b w:val="0"/>
          <w:bCs w:val="0"/>
          <w:color w:val="000000"/>
          <w:kern w:val="0"/>
          <w:sz w:val="24"/>
        </w:rPr>
        <w:t xml:space="preserve">需方（章）：                           供方（章）：            </w:t>
      </w:r>
    </w:p>
    <w:p>
      <w:pPr>
        <w:widowControl/>
        <w:suppressAutoHyphens/>
        <w:snapToGrid w:val="0"/>
        <w:spacing w:line="360" w:lineRule="auto"/>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法人代表：                             法人代表：                </w:t>
      </w:r>
    </w:p>
    <w:p>
      <w:pPr>
        <w:widowControl/>
        <w:suppressAutoHyphens/>
        <w:snapToGrid w:val="0"/>
        <w:spacing w:line="360" w:lineRule="auto"/>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委托代理人：                           委托代理人：               </w:t>
      </w:r>
    </w:p>
    <w:p>
      <w:pPr>
        <w:widowControl/>
        <w:suppressAutoHyphens/>
        <w:snapToGrid w:val="0"/>
        <w:spacing w:line="360" w:lineRule="auto"/>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地 址：                                地 址：                   </w:t>
      </w:r>
    </w:p>
    <w:p>
      <w:pPr>
        <w:widowControl/>
        <w:suppressAutoHyphens/>
        <w:snapToGrid w:val="0"/>
        <w:spacing w:line="360" w:lineRule="auto"/>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电 话：                                电 话：                    </w:t>
      </w:r>
    </w:p>
    <w:p>
      <w:pPr>
        <w:widowControl/>
        <w:suppressAutoHyphens/>
        <w:snapToGrid w:val="0"/>
        <w:spacing w:line="360" w:lineRule="auto"/>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开户银行：                             开户银行：                </w:t>
      </w:r>
    </w:p>
    <w:p>
      <w:pPr>
        <w:widowControl/>
        <w:suppressAutoHyphens/>
        <w:snapToGrid w:val="0"/>
        <w:spacing w:line="360" w:lineRule="auto"/>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账 号：                                账 号                      </w:t>
      </w:r>
    </w:p>
    <w:p>
      <w:pPr>
        <w:snapToGrid w:val="0"/>
        <w:spacing w:line="360" w:lineRule="auto"/>
        <w:rPr>
          <w:rFonts w:hint="default" w:ascii="Times New Roman" w:hAnsi="Times New Roman" w:cs="Times New Roman"/>
        </w:rPr>
      </w:pPr>
      <w:r>
        <w:rPr>
          <w:rFonts w:hint="default" w:ascii="Times New Roman" w:hAnsi="Times New Roman" w:cs="Times New Roman"/>
          <w:color w:val="000000"/>
          <w:kern w:val="0"/>
          <w:sz w:val="24"/>
        </w:rPr>
        <w:t xml:space="preserve">日 期：    年    月    日              日 期：    年    月    日  </w:t>
      </w:r>
    </w:p>
    <w:p>
      <w:pPr>
        <w:pStyle w:val="24"/>
        <w:snapToGrid w:val="0"/>
        <w:spacing w:line="360" w:lineRule="auto"/>
        <w:ind w:firstLine="420"/>
        <w:rPr>
          <w:rFonts w:ascii="Times New Roman" w:hAnsi="Times New Roman"/>
          <w:sz w:val="21"/>
          <w:szCs w:val="21"/>
          <w:lang w:bidi="en-US"/>
        </w:rPr>
      </w:pPr>
    </w:p>
    <w:p>
      <w:pPr>
        <w:rPr>
          <w:color w:val="000000"/>
          <w:kern w:val="0"/>
          <w:sz w:val="28"/>
          <w:szCs w:val="32"/>
        </w:rPr>
      </w:pPr>
      <w:r>
        <w:rPr>
          <w:color w:val="000000"/>
          <w:kern w:val="0"/>
          <w:sz w:val="28"/>
          <w:szCs w:val="32"/>
        </w:rPr>
        <w:br w:type="page"/>
      </w:r>
    </w:p>
    <w:p>
      <w:pPr>
        <w:widowControl/>
        <w:tabs>
          <w:tab w:val="left" w:pos="2070"/>
          <w:tab w:val="center" w:pos="4365"/>
        </w:tabs>
        <w:snapToGrid w:val="0"/>
        <w:spacing w:line="360" w:lineRule="auto"/>
        <w:jc w:val="center"/>
        <w:outlineLvl w:val="0"/>
        <w:rPr>
          <w:color w:val="000000"/>
          <w:kern w:val="0"/>
          <w:sz w:val="28"/>
          <w:szCs w:val="32"/>
        </w:rPr>
      </w:pPr>
      <w:bookmarkStart w:id="79" w:name="_Toc472"/>
      <w:r>
        <w:rPr>
          <w:color w:val="000000"/>
          <w:kern w:val="0"/>
          <w:sz w:val="28"/>
          <w:szCs w:val="32"/>
        </w:rPr>
        <w:t xml:space="preserve">第五部分  </w:t>
      </w:r>
      <w:bookmarkStart w:id="80" w:name="_Toc86202632"/>
      <w:r>
        <w:rPr>
          <w:color w:val="000000"/>
          <w:kern w:val="0"/>
          <w:sz w:val="28"/>
          <w:szCs w:val="32"/>
        </w:rPr>
        <w:t>响应文件格式</w:t>
      </w:r>
      <w:bookmarkEnd w:id="65"/>
      <w:bookmarkEnd w:id="79"/>
      <w:bookmarkEnd w:id="80"/>
    </w:p>
    <w:p>
      <w:pPr>
        <w:widowControl/>
        <w:snapToGrid w:val="0"/>
        <w:spacing w:line="360" w:lineRule="auto"/>
        <w:jc w:val="left"/>
        <w:rPr>
          <w:color w:val="000000"/>
          <w:kern w:val="0"/>
          <w:sz w:val="24"/>
        </w:rPr>
      </w:pPr>
    </w:p>
    <w:p>
      <w:pPr>
        <w:widowControl/>
        <w:tabs>
          <w:tab w:val="left" w:pos="-737"/>
        </w:tabs>
        <w:snapToGrid w:val="0"/>
        <w:spacing w:line="360" w:lineRule="auto"/>
        <w:jc w:val="left"/>
        <w:rPr>
          <w:b/>
          <w:bCs/>
          <w:color w:val="000000"/>
          <w:kern w:val="0"/>
          <w:sz w:val="24"/>
        </w:rPr>
      </w:pPr>
      <w:bookmarkStart w:id="81" w:name="_Toc175644062"/>
      <w:bookmarkStart w:id="82" w:name="_Toc86202633"/>
      <w:r>
        <w:rPr>
          <w:b/>
          <w:bCs/>
          <w:color w:val="000000"/>
          <w:kern w:val="0"/>
          <w:sz w:val="24"/>
        </w:rPr>
        <w:t>一、供应商提交文件须知</w:t>
      </w:r>
      <w:bookmarkEnd w:id="81"/>
      <w:bookmarkEnd w:id="82"/>
    </w:p>
    <w:p>
      <w:pPr>
        <w:widowControl/>
        <w:tabs>
          <w:tab w:val="left" w:pos="-737"/>
        </w:tabs>
        <w:snapToGrid w:val="0"/>
        <w:spacing w:line="360" w:lineRule="auto"/>
        <w:ind w:firstLine="737"/>
        <w:jc w:val="left"/>
        <w:rPr>
          <w:color w:val="000000"/>
          <w:kern w:val="0"/>
          <w:sz w:val="24"/>
        </w:rPr>
      </w:pPr>
    </w:p>
    <w:p>
      <w:pPr>
        <w:widowControl/>
        <w:tabs>
          <w:tab w:val="left" w:pos="0"/>
        </w:tabs>
        <w:snapToGrid w:val="0"/>
        <w:spacing w:line="360" w:lineRule="auto"/>
        <w:ind w:firstLine="624"/>
        <w:jc w:val="left"/>
        <w:rPr>
          <w:color w:val="000000"/>
          <w:kern w:val="0"/>
          <w:sz w:val="24"/>
        </w:rPr>
      </w:pPr>
      <w:r>
        <w:rPr>
          <w:color w:val="000000"/>
          <w:kern w:val="0"/>
          <w:sz w:val="24"/>
        </w:rPr>
        <w:t>1.供应商应按照以下顺序填写和提交下述规定的全部格式文件以及其他有关资料，混乱的编排导致响应文件被误读或查找不到，后果由供应商承担。</w:t>
      </w:r>
    </w:p>
    <w:p>
      <w:pPr>
        <w:widowControl/>
        <w:tabs>
          <w:tab w:val="left" w:pos="0"/>
        </w:tabs>
        <w:snapToGrid w:val="0"/>
        <w:spacing w:line="360" w:lineRule="auto"/>
        <w:ind w:firstLine="624"/>
        <w:jc w:val="left"/>
        <w:rPr>
          <w:color w:val="000000"/>
          <w:kern w:val="0"/>
          <w:sz w:val="24"/>
        </w:rPr>
      </w:pPr>
      <w:r>
        <w:rPr>
          <w:color w:val="000000"/>
          <w:kern w:val="0"/>
          <w:sz w:val="24"/>
        </w:rPr>
        <w:t>2.所附表格中要求回答的全部问题和信息都必须正面回答。</w:t>
      </w:r>
    </w:p>
    <w:p>
      <w:pPr>
        <w:widowControl/>
        <w:tabs>
          <w:tab w:val="left" w:pos="0"/>
        </w:tabs>
        <w:snapToGrid w:val="0"/>
        <w:spacing w:line="360" w:lineRule="auto"/>
        <w:ind w:firstLine="624"/>
        <w:jc w:val="left"/>
        <w:rPr>
          <w:color w:val="000000"/>
          <w:kern w:val="0"/>
          <w:sz w:val="24"/>
        </w:rPr>
      </w:pPr>
      <w:r>
        <w:rPr>
          <w:color w:val="000000"/>
          <w:kern w:val="0"/>
          <w:sz w:val="24"/>
        </w:rPr>
        <w:t>3.供应商应保证全部声明和问题的回答是真实的和准确的。</w:t>
      </w:r>
    </w:p>
    <w:p>
      <w:pPr>
        <w:widowControl/>
        <w:tabs>
          <w:tab w:val="left" w:pos="0"/>
        </w:tabs>
        <w:snapToGrid w:val="0"/>
        <w:spacing w:line="360" w:lineRule="auto"/>
        <w:ind w:firstLine="624"/>
        <w:jc w:val="left"/>
        <w:rPr>
          <w:color w:val="000000"/>
          <w:kern w:val="0"/>
          <w:sz w:val="24"/>
        </w:rPr>
      </w:pPr>
      <w:r>
        <w:rPr>
          <w:color w:val="000000"/>
          <w:kern w:val="0"/>
          <w:sz w:val="24"/>
        </w:rPr>
        <w:t>4.供应商提交的材料将被妥善保存，但不退还。</w:t>
      </w:r>
    </w:p>
    <w:p>
      <w:pPr>
        <w:widowControl/>
        <w:tabs>
          <w:tab w:val="left" w:pos="0"/>
        </w:tabs>
        <w:snapToGrid w:val="0"/>
        <w:spacing w:line="360" w:lineRule="auto"/>
        <w:ind w:firstLine="624"/>
        <w:jc w:val="left"/>
        <w:rPr>
          <w:b/>
          <w:bCs/>
          <w:color w:val="000000"/>
          <w:kern w:val="0"/>
          <w:sz w:val="24"/>
        </w:rPr>
      </w:pPr>
      <w:r>
        <w:rPr>
          <w:b/>
          <w:bCs/>
          <w:color w:val="000000"/>
          <w:kern w:val="0"/>
          <w:sz w:val="24"/>
        </w:rPr>
        <w:t>5.本次采购项目属于：</w:t>
      </w:r>
      <w:r>
        <w:rPr>
          <w:rFonts w:hint="default"/>
          <w:b/>
          <w:bCs/>
          <w:color w:val="000000"/>
          <w:kern w:val="0"/>
          <w:sz w:val="24"/>
        </w:rPr>
        <w:t>其他未列明行业</w:t>
      </w:r>
    </w:p>
    <w:p>
      <w:pPr>
        <w:widowControl/>
        <w:tabs>
          <w:tab w:val="left" w:pos="0"/>
        </w:tabs>
        <w:snapToGrid w:val="0"/>
        <w:spacing w:line="360" w:lineRule="auto"/>
        <w:ind w:firstLine="624"/>
        <w:jc w:val="left"/>
        <w:rPr>
          <w:color w:val="000000"/>
          <w:kern w:val="0"/>
          <w:sz w:val="24"/>
        </w:rPr>
      </w:pPr>
    </w:p>
    <w:p>
      <w:pPr>
        <w:widowControl/>
        <w:tabs>
          <w:tab w:val="left" w:pos="0"/>
        </w:tabs>
        <w:snapToGrid w:val="0"/>
        <w:spacing w:line="360" w:lineRule="auto"/>
        <w:jc w:val="left"/>
        <w:rPr>
          <w:color w:val="000000"/>
          <w:kern w:val="0"/>
          <w:sz w:val="24"/>
        </w:rPr>
      </w:pPr>
      <w:r>
        <w:rPr>
          <w:color w:val="000000"/>
          <w:kern w:val="0"/>
          <w:sz w:val="24"/>
        </w:rPr>
        <w:br w:type="page"/>
      </w:r>
      <w:r>
        <w:rPr>
          <w:color w:val="000000"/>
          <w:kern w:val="0"/>
          <w:sz w:val="24"/>
        </w:rPr>
        <w:t>（格式）</w:t>
      </w:r>
    </w:p>
    <w:p>
      <w:pPr>
        <w:widowControl/>
        <w:jc w:val="right"/>
        <w:rPr>
          <w:color w:val="000000"/>
          <w:kern w:val="0"/>
          <w:sz w:val="24"/>
        </w:rPr>
      </w:pPr>
      <w:r>
        <w:rPr>
          <w:b/>
          <w:color w:val="000000"/>
          <w:kern w:val="0"/>
          <w:sz w:val="32"/>
        </w:rPr>
        <w:t>（正/副）本</w:t>
      </w:r>
    </w:p>
    <w:p>
      <w:pPr>
        <w:widowControl/>
        <w:rPr>
          <w:color w:val="000000"/>
          <w:kern w:val="0"/>
          <w:sz w:val="48"/>
          <w:szCs w:val="48"/>
        </w:rPr>
      </w:pPr>
    </w:p>
    <w:p>
      <w:pPr>
        <w:widowControl/>
        <w:spacing w:line="360" w:lineRule="auto"/>
        <w:jc w:val="center"/>
        <w:rPr>
          <w:rFonts w:hint="eastAsia" w:eastAsia="宋体"/>
          <w:color w:val="000000"/>
          <w:kern w:val="0"/>
          <w:sz w:val="52"/>
          <w:szCs w:val="52"/>
          <w:lang w:eastAsia="zh-CN"/>
        </w:rPr>
      </w:pPr>
      <w:r>
        <w:rPr>
          <w:rFonts w:hint="eastAsia"/>
          <w:color w:val="000000"/>
          <w:kern w:val="0"/>
          <w:sz w:val="48"/>
          <w:szCs w:val="48"/>
          <w:lang w:eastAsia="zh-CN"/>
        </w:rPr>
        <w:t>太原市迎泽区市场监督管理局</w:t>
      </w:r>
    </w:p>
    <w:p>
      <w:pPr>
        <w:widowControl/>
        <w:spacing w:line="360" w:lineRule="auto"/>
        <w:jc w:val="center"/>
        <w:rPr>
          <w:rFonts w:hint="eastAsia" w:ascii="Times New Roman" w:hAnsi="Times New Roman" w:eastAsia="宋体" w:cs="Times New Roman"/>
          <w:color w:val="000000"/>
          <w:kern w:val="0"/>
          <w:sz w:val="48"/>
          <w:szCs w:val="48"/>
          <w:lang w:eastAsia="zh-CN"/>
        </w:rPr>
      </w:pPr>
      <w:r>
        <w:rPr>
          <w:rFonts w:hint="eastAsia" w:cs="Times New Roman"/>
          <w:color w:val="000000"/>
          <w:kern w:val="0"/>
          <w:sz w:val="48"/>
          <w:szCs w:val="48"/>
          <w:lang w:eastAsia="zh-CN"/>
        </w:rPr>
        <w:t>2024年食品安全监督抽检项目</w:t>
      </w:r>
    </w:p>
    <w:p>
      <w:pPr>
        <w:widowControl/>
        <w:jc w:val="left"/>
        <w:rPr>
          <w:color w:val="000000"/>
          <w:kern w:val="0"/>
          <w:sz w:val="24"/>
        </w:rPr>
      </w:pPr>
    </w:p>
    <w:p>
      <w:pPr>
        <w:widowControl/>
        <w:snapToGrid w:val="0"/>
        <w:spacing w:line="360" w:lineRule="auto"/>
        <w:ind w:left="0" w:leftChars="0" w:firstLine="2318" w:firstLineChars="828"/>
        <w:rPr>
          <w:color w:val="000000"/>
          <w:kern w:val="0"/>
          <w:sz w:val="28"/>
          <w:szCs w:val="28"/>
        </w:rPr>
      </w:pPr>
      <w:r>
        <w:rPr>
          <w:color w:val="000000"/>
          <w:kern w:val="0"/>
          <w:sz w:val="28"/>
          <w:szCs w:val="28"/>
        </w:rPr>
        <w:t>项目编号：</w:t>
      </w:r>
      <w:r>
        <w:rPr>
          <w:rFonts w:hint="eastAsia"/>
          <w:color w:val="000000"/>
          <w:kern w:val="0"/>
          <w:sz w:val="28"/>
          <w:szCs w:val="28"/>
          <w:lang w:eastAsia="zh-CN"/>
        </w:rPr>
        <w:t>1401062024CCS00032</w:t>
      </w:r>
    </w:p>
    <w:p>
      <w:pPr>
        <w:widowControl/>
        <w:snapToGrid w:val="0"/>
        <w:spacing w:line="360" w:lineRule="auto"/>
        <w:ind w:left="0" w:leftChars="0" w:firstLine="2318" w:firstLineChars="828"/>
        <w:jc w:val="left"/>
        <w:rPr>
          <w:color w:val="000000"/>
          <w:kern w:val="0"/>
          <w:sz w:val="28"/>
          <w:szCs w:val="28"/>
        </w:rPr>
      </w:pPr>
      <w:r>
        <w:rPr>
          <w:color w:val="000000"/>
          <w:kern w:val="0"/>
          <w:sz w:val="28"/>
          <w:szCs w:val="28"/>
        </w:rPr>
        <w:t>包    号：</w:t>
      </w:r>
    </w:p>
    <w:p>
      <w:pPr>
        <w:widowControl/>
        <w:jc w:val="center"/>
        <w:rPr>
          <w:color w:val="000000"/>
          <w:kern w:val="0"/>
          <w:sz w:val="44"/>
          <w:szCs w:val="44"/>
        </w:rPr>
      </w:pPr>
    </w:p>
    <w:p>
      <w:pPr>
        <w:widowControl/>
        <w:jc w:val="center"/>
        <w:rPr>
          <w:color w:val="000000"/>
          <w:kern w:val="0"/>
          <w:sz w:val="24"/>
        </w:rPr>
      </w:pPr>
      <w:r>
        <w:rPr>
          <w:color w:val="000000"/>
          <w:kern w:val="0"/>
          <w:sz w:val="44"/>
          <w:szCs w:val="44"/>
        </w:rPr>
        <w:t>（商务、技术）</w:t>
      </w:r>
    </w:p>
    <w:p>
      <w:pPr>
        <w:widowControl/>
        <w:spacing w:line="1400" w:lineRule="exact"/>
        <w:jc w:val="center"/>
        <w:rPr>
          <w:b/>
          <w:color w:val="000000"/>
          <w:kern w:val="0"/>
          <w:sz w:val="84"/>
        </w:rPr>
      </w:pPr>
      <w:r>
        <w:rPr>
          <w:b/>
          <w:color w:val="000000"/>
          <w:kern w:val="0"/>
          <w:sz w:val="84"/>
        </w:rPr>
        <w:t>响</w:t>
      </w:r>
    </w:p>
    <w:p>
      <w:pPr>
        <w:widowControl/>
        <w:spacing w:line="1400" w:lineRule="exact"/>
        <w:jc w:val="center"/>
        <w:rPr>
          <w:color w:val="000000"/>
          <w:kern w:val="0"/>
          <w:sz w:val="24"/>
        </w:rPr>
      </w:pPr>
      <w:r>
        <w:rPr>
          <w:b/>
          <w:color w:val="000000"/>
          <w:kern w:val="0"/>
          <w:sz w:val="84"/>
        </w:rPr>
        <w:t>应</w:t>
      </w:r>
    </w:p>
    <w:p>
      <w:pPr>
        <w:widowControl/>
        <w:spacing w:line="1400" w:lineRule="exact"/>
        <w:jc w:val="center"/>
        <w:rPr>
          <w:color w:val="000000"/>
          <w:kern w:val="0"/>
          <w:sz w:val="24"/>
        </w:rPr>
      </w:pPr>
      <w:r>
        <w:rPr>
          <w:b/>
          <w:color w:val="000000"/>
          <w:kern w:val="0"/>
          <w:sz w:val="84"/>
        </w:rPr>
        <w:t>文</w:t>
      </w:r>
    </w:p>
    <w:p>
      <w:pPr>
        <w:widowControl/>
        <w:spacing w:line="1400" w:lineRule="exact"/>
        <w:jc w:val="center"/>
        <w:rPr>
          <w:color w:val="000000"/>
          <w:kern w:val="0"/>
          <w:sz w:val="24"/>
        </w:rPr>
      </w:pPr>
      <w:r>
        <w:rPr>
          <w:b/>
          <w:color w:val="000000"/>
          <w:kern w:val="0"/>
          <w:sz w:val="84"/>
        </w:rPr>
        <w:t>件</w:t>
      </w:r>
    </w:p>
    <w:p>
      <w:pPr>
        <w:widowControl/>
        <w:jc w:val="left"/>
        <w:rPr>
          <w:color w:val="000000"/>
          <w:kern w:val="0"/>
          <w:sz w:val="24"/>
        </w:rPr>
      </w:pPr>
    </w:p>
    <w:p>
      <w:pPr>
        <w:widowControl/>
        <w:jc w:val="center"/>
        <w:rPr>
          <w:color w:val="000000"/>
          <w:kern w:val="0"/>
          <w:sz w:val="24"/>
        </w:rPr>
      </w:pPr>
      <w:r>
        <w:rPr>
          <w:color w:val="000000"/>
          <w:kern w:val="0"/>
          <w:sz w:val="32"/>
          <w:szCs w:val="32"/>
        </w:rPr>
        <w:t>供应商单位名称</w:t>
      </w:r>
      <w:r>
        <w:rPr>
          <w:color w:val="000000"/>
          <w:kern w:val="0"/>
          <w:szCs w:val="21"/>
        </w:rPr>
        <w:t>（加盖单位公章）</w:t>
      </w:r>
    </w:p>
    <w:p>
      <w:pPr>
        <w:widowControl/>
        <w:jc w:val="center"/>
        <w:rPr>
          <w:color w:val="000000"/>
          <w:kern w:val="0"/>
          <w:sz w:val="24"/>
        </w:rPr>
      </w:pPr>
    </w:p>
    <w:p>
      <w:pPr>
        <w:widowControl/>
        <w:jc w:val="center"/>
        <w:rPr>
          <w:color w:val="000000"/>
          <w:kern w:val="0"/>
          <w:sz w:val="24"/>
        </w:rPr>
      </w:pPr>
      <w:r>
        <w:rPr>
          <w:color w:val="000000"/>
          <w:kern w:val="0"/>
          <w:sz w:val="24"/>
        </w:rPr>
        <w:t xml:space="preserve">     年  月   日</w:t>
      </w:r>
    </w:p>
    <w:p>
      <w:pPr>
        <w:widowControl/>
        <w:snapToGrid w:val="0"/>
        <w:spacing w:line="360" w:lineRule="auto"/>
        <w:jc w:val="center"/>
        <w:rPr>
          <w:b/>
          <w:color w:val="000000"/>
          <w:kern w:val="0"/>
          <w:sz w:val="28"/>
          <w:szCs w:val="28"/>
        </w:rPr>
      </w:pPr>
      <w:r>
        <w:rPr>
          <w:color w:val="000000"/>
          <w:kern w:val="0"/>
          <w:sz w:val="30"/>
          <w:szCs w:val="30"/>
        </w:rPr>
        <w:br w:type="page"/>
      </w:r>
      <w:r>
        <w:rPr>
          <w:b/>
          <w:color w:val="000000"/>
          <w:kern w:val="0"/>
          <w:sz w:val="28"/>
          <w:szCs w:val="28"/>
        </w:rPr>
        <w:t>报价函（格式）</w:t>
      </w:r>
    </w:p>
    <w:p>
      <w:pPr>
        <w:widowControl/>
        <w:tabs>
          <w:tab w:val="left" w:pos="4860"/>
        </w:tabs>
        <w:snapToGrid w:val="0"/>
        <w:spacing w:line="360" w:lineRule="auto"/>
        <w:jc w:val="left"/>
        <w:rPr>
          <w:bCs/>
          <w:color w:val="000000"/>
          <w:kern w:val="0"/>
          <w:sz w:val="24"/>
        </w:rPr>
      </w:pPr>
    </w:p>
    <w:p>
      <w:pPr>
        <w:widowControl/>
        <w:tabs>
          <w:tab w:val="left" w:pos="4860"/>
        </w:tabs>
        <w:snapToGrid w:val="0"/>
        <w:spacing w:line="360" w:lineRule="auto"/>
        <w:jc w:val="left"/>
        <w:rPr>
          <w:bCs/>
          <w:color w:val="000000"/>
          <w:kern w:val="0"/>
          <w:sz w:val="24"/>
        </w:rPr>
      </w:pPr>
      <w:r>
        <w:rPr>
          <w:rFonts w:hint="eastAsia"/>
          <w:bCs/>
          <w:color w:val="000000"/>
          <w:kern w:val="0"/>
          <w:sz w:val="24"/>
          <w:lang w:eastAsia="zh-CN"/>
        </w:rPr>
        <w:t>太原市迎泽区市场监督管理局</w:t>
      </w:r>
      <w:r>
        <w:rPr>
          <w:bCs/>
          <w:color w:val="000000"/>
          <w:kern w:val="0"/>
          <w:sz w:val="24"/>
        </w:rPr>
        <w:t>、山西省国际招标有限公司：</w:t>
      </w:r>
    </w:p>
    <w:p>
      <w:pPr>
        <w:widowControl/>
        <w:snapToGrid w:val="0"/>
        <w:spacing w:line="360" w:lineRule="auto"/>
        <w:ind w:firstLine="600" w:firstLineChars="250"/>
        <w:jc w:val="left"/>
        <w:rPr>
          <w:color w:val="000000"/>
          <w:kern w:val="0"/>
          <w:sz w:val="24"/>
        </w:rPr>
      </w:pPr>
      <w:r>
        <w:rPr>
          <w:color w:val="000000"/>
          <w:kern w:val="0"/>
          <w:sz w:val="24"/>
          <w:u w:val="single"/>
        </w:rPr>
        <w:t xml:space="preserve">          </w:t>
      </w:r>
      <w:r>
        <w:rPr>
          <w:color w:val="000000"/>
          <w:kern w:val="0"/>
          <w:sz w:val="24"/>
        </w:rPr>
        <w:t>（供应商全称）授权</w:t>
      </w:r>
      <w:r>
        <w:rPr>
          <w:color w:val="000000"/>
          <w:kern w:val="0"/>
          <w:sz w:val="24"/>
          <w:u w:val="single"/>
        </w:rPr>
        <w:t xml:space="preserve">       </w:t>
      </w:r>
      <w:r>
        <w:rPr>
          <w:color w:val="000000"/>
          <w:kern w:val="0"/>
          <w:sz w:val="24"/>
        </w:rPr>
        <w:t>（供应商授权代表姓名）</w:t>
      </w:r>
      <w:r>
        <w:rPr>
          <w:color w:val="000000"/>
          <w:kern w:val="0"/>
          <w:sz w:val="24"/>
          <w:u w:val="single"/>
        </w:rPr>
        <w:t xml:space="preserve">       </w:t>
      </w:r>
      <w:r>
        <w:rPr>
          <w:color w:val="000000"/>
          <w:kern w:val="0"/>
          <w:sz w:val="24"/>
        </w:rPr>
        <w:t>（职务）为我方代表，参加贵方组织的</w:t>
      </w:r>
      <w:r>
        <w:rPr>
          <w:color w:val="000000"/>
          <w:kern w:val="0"/>
          <w:sz w:val="24"/>
          <w:u w:val="single"/>
        </w:rPr>
        <w:t xml:space="preserve">           </w:t>
      </w:r>
      <w:r>
        <w:rPr>
          <w:color w:val="000000"/>
          <w:kern w:val="0"/>
          <w:sz w:val="24"/>
        </w:rPr>
        <w:t>（项目名称、项目编号、包号）磋商的有关活动，并对此项目进行报价。为此：</w:t>
      </w:r>
    </w:p>
    <w:p>
      <w:pPr>
        <w:widowControl/>
        <w:snapToGrid w:val="0"/>
        <w:spacing w:line="360" w:lineRule="auto"/>
        <w:ind w:firstLine="480" w:firstLineChars="200"/>
        <w:jc w:val="left"/>
        <w:rPr>
          <w:color w:val="000000"/>
          <w:kern w:val="0"/>
          <w:sz w:val="24"/>
        </w:rPr>
      </w:pPr>
      <w:r>
        <w:rPr>
          <w:color w:val="000000"/>
          <w:kern w:val="0"/>
          <w:sz w:val="24"/>
        </w:rPr>
        <w:t>1、我方同意在本项目磋商文件中规定的</w:t>
      </w:r>
      <w:r>
        <w:rPr>
          <w:color w:val="000000"/>
          <w:kern w:val="0"/>
          <w:sz w:val="24"/>
          <w:u w:val="single"/>
        </w:rPr>
        <w:t xml:space="preserve">      </w:t>
      </w:r>
      <w:r>
        <w:rPr>
          <w:color w:val="000000"/>
          <w:kern w:val="0"/>
          <w:sz w:val="24"/>
        </w:rPr>
        <w:t>有效期内遵守本响应文件中的承诺且在此期限期满之前均具有约束力。</w:t>
      </w:r>
    </w:p>
    <w:p>
      <w:pPr>
        <w:widowControl/>
        <w:snapToGrid w:val="0"/>
        <w:spacing w:line="360" w:lineRule="auto"/>
        <w:ind w:firstLine="480" w:firstLineChars="200"/>
        <w:jc w:val="left"/>
        <w:rPr>
          <w:color w:val="000000"/>
          <w:kern w:val="0"/>
          <w:sz w:val="24"/>
        </w:rPr>
      </w:pPr>
      <w:r>
        <w:rPr>
          <w:color w:val="000000"/>
          <w:kern w:val="0"/>
          <w:sz w:val="24"/>
        </w:rPr>
        <w:t>2、我方承诺已经具备《中华人民共和国政府采购法》中规定的参加政府采购活动的供应商应当具备的全部条件。</w:t>
      </w:r>
    </w:p>
    <w:p>
      <w:pPr>
        <w:widowControl/>
        <w:snapToGrid w:val="0"/>
        <w:spacing w:line="360" w:lineRule="auto"/>
        <w:ind w:firstLine="480" w:firstLineChars="200"/>
        <w:jc w:val="left"/>
        <w:rPr>
          <w:color w:val="000000"/>
          <w:kern w:val="0"/>
          <w:sz w:val="24"/>
        </w:rPr>
      </w:pPr>
      <w:r>
        <w:rPr>
          <w:color w:val="000000"/>
          <w:kern w:val="0"/>
          <w:sz w:val="24"/>
        </w:rPr>
        <w:t>3、提供磋商须知规定的全部响应文件等。</w:t>
      </w:r>
    </w:p>
    <w:p>
      <w:pPr>
        <w:widowControl/>
        <w:snapToGrid w:val="0"/>
        <w:spacing w:line="360" w:lineRule="auto"/>
        <w:ind w:firstLine="480" w:firstLineChars="200"/>
        <w:jc w:val="left"/>
        <w:rPr>
          <w:color w:val="000000"/>
          <w:kern w:val="0"/>
          <w:sz w:val="24"/>
        </w:rPr>
      </w:pPr>
      <w:r>
        <w:rPr>
          <w:color w:val="000000"/>
          <w:kern w:val="0"/>
          <w:sz w:val="24"/>
        </w:rPr>
        <w:t>4、按磋商文件要求提供相关服务的报价详见报价一览表。</w:t>
      </w:r>
    </w:p>
    <w:p>
      <w:pPr>
        <w:widowControl/>
        <w:snapToGrid w:val="0"/>
        <w:spacing w:line="360" w:lineRule="auto"/>
        <w:ind w:firstLine="480" w:firstLineChars="200"/>
        <w:jc w:val="left"/>
        <w:rPr>
          <w:color w:val="000000"/>
          <w:kern w:val="0"/>
          <w:sz w:val="24"/>
        </w:rPr>
      </w:pPr>
      <w:r>
        <w:rPr>
          <w:color w:val="000000"/>
          <w:kern w:val="0"/>
          <w:sz w:val="24"/>
        </w:rPr>
        <w:t>5、我方承诺：完全理解最终报价超过采购预算金额时，报价将被拒绝。</w:t>
      </w:r>
    </w:p>
    <w:p>
      <w:pPr>
        <w:widowControl/>
        <w:tabs>
          <w:tab w:val="left" w:pos="1680"/>
        </w:tabs>
        <w:snapToGrid w:val="0"/>
        <w:spacing w:line="360" w:lineRule="auto"/>
        <w:ind w:firstLine="480" w:firstLineChars="200"/>
        <w:jc w:val="left"/>
        <w:rPr>
          <w:color w:val="000000"/>
          <w:kern w:val="0"/>
          <w:sz w:val="24"/>
        </w:rPr>
      </w:pPr>
      <w:r>
        <w:rPr>
          <w:color w:val="000000"/>
          <w:kern w:val="0"/>
          <w:sz w:val="24"/>
        </w:rPr>
        <w:t>6、保证忠实地执行双方所签订的合同，并承担合同规定的责任和义务。</w:t>
      </w:r>
    </w:p>
    <w:p>
      <w:pPr>
        <w:widowControl/>
        <w:snapToGrid w:val="0"/>
        <w:spacing w:line="360" w:lineRule="auto"/>
        <w:ind w:firstLine="480" w:firstLineChars="200"/>
        <w:jc w:val="left"/>
        <w:rPr>
          <w:color w:val="000000"/>
          <w:kern w:val="0"/>
          <w:sz w:val="24"/>
        </w:rPr>
      </w:pPr>
      <w:r>
        <w:rPr>
          <w:color w:val="000000"/>
          <w:kern w:val="0"/>
          <w:sz w:val="24"/>
        </w:rPr>
        <w:t>7、承诺完全满足和响应磋商文件中的各项商务和技术要求，若有偏差，已在响应文件商务条款偏离表中予以明确特别说明。</w:t>
      </w:r>
    </w:p>
    <w:p>
      <w:pPr>
        <w:widowControl/>
        <w:snapToGrid w:val="0"/>
        <w:spacing w:line="360" w:lineRule="auto"/>
        <w:ind w:firstLine="480" w:firstLineChars="200"/>
        <w:jc w:val="left"/>
        <w:rPr>
          <w:color w:val="000000"/>
          <w:kern w:val="0"/>
          <w:sz w:val="24"/>
        </w:rPr>
      </w:pPr>
      <w:r>
        <w:rPr>
          <w:color w:val="000000"/>
          <w:kern w:val="0"/>
          <w:sz w:val="24"/>
        </w:rPr>
        <w:t>8、保证遵守磋商文件的规定。</w:t>
      </w:r>
    </w:p>
    <w:p>
      <w:pPr>
        <w:widowControl/>
        <w:snapToGrid w:val="0"/>
        <w:spacing w:line="360" w:lineRule="auto"/>
        <w:ind w:firstLine="480" w:firstLineChars="200"/>
        <w:jc w:val="left"/>
        <w:rPr>
          <w:color w:val="000000"/>
          <w:kern w:val="0"/>
          <w:sz w:val="24"/>
        </w:rPr>
      </w:pPr>
      <w:r>
        <w:rPr>
          <w:color w:val="000000"/>
          <w:kern w:val="0"/>
          <w:sz w:val="24"/>
        </w:rPr>
        <w:t>9、如果在磋商开始之日起规定的报价有效期内撤回报价，我方的保证金可被贵方没收。</w:t>
      </w:r>
    </w:p>
    <w:p>
      <w:pPr>
        <w:widowControl/>
        <w:snapToGrid w:val="0"/>
        <w:spacing w:line="360" w:lineRule="auto"/>
        <w:ind w:firstLine="480" w:firstLineChars="200"/>
        <w:jc w:val="left"/>
        <w:rPr>
          <w:color w:val="000000"/>
          <w:kern w:val="0"/>
          <w:sz w:val="24"/>
        </w:rPr>
      </w:pPr>
      <w:r>
        <w:rPr>
          <w:color w:val="000000"/>
          <w:kern w:val="0"/>
          <w:sz w:val="24"/>
        </w:rPr>
        <w:t>10、我方完全理解贵方不一定接受最低价的报价或收到的任何报价。</w:t>
      </w:r>
    </w:p>
    <w:p>
      <w:pPr>
        <w:widowControl/>
        <w:snapToGrid w:val="0"/>
        <w:spacing w:line="360" w:lineRule="auto"/>
        <w:ind w:firstLine="480" w:firstLineChars="200"/>
        <w:jc w:val="left"/>
        <w:rPr>
          <w:color w:val="000000"/>
          <w:kern w:val="0"/>
          <w:sz w:val="24"/>
        </w:rPr>
      </w:pPr>
      <w:r>
        <w:rPr>
          <w:color w:val="000000"/>
          <w:kern w:val="0"/>
          <w:sz w:val="24"/>
        </w:rPr>
        <w:t>11、我方愿意向贵方提供任何与本项报价有关的数据、情况和技术资料。若贵方需要，我方愿意提供我方做出的一切承诺的证明材料。</w:t>
      </w:r>
    </w:p>
    <w:p>
      <w:pPr>
        <w:widowControl/>
        <w:snapToGrid w:val="0"/>
        <w:spacing w:line="360" w:lineRule="auto"/>
        <w:ind w:firstLine="480" w:firstLineChars="200"/>
        <w:jc w:val="left"/>
        <w:rPr>
          <w:color w:val="000000"/>
          <w:kern w:val="0"/>
          <w:sz w:val="24"/>
        </w:rPr>
      </w:pPr>
      <w:r>
        <w:rPr>
          <w:color w:val="000000"/>
          <w:kern w:val="0"/>
          <w:sz w:val="24"/>
        </w:rPr>
        <w:t>12、我方已详细审核全部磋商文件，包括磋商文件修改书（如有的话）、参考资料及有关附件，确认无误。</w:t>
      </w:r>
    </w:p>
    <w:p>
      <w:pPr>
        <w:widowControl/>
        <w:snapToGrid w:val="0"/>
        <w:spacing w:line="360" w:lineRule="auto"/>
        <w:ind w:firstLine="480" w:firstLineChars="200"/>
        <w:jc w:val="left"/>
        <w:rPr>
          <w:color w:val="000000"/>
          <w:kern w:val="0"/>
          <w:sz w:val="24"/>
        </w:rPr>
      </w:pPr>
      <w:r>
        <w:rPr>
          <w:color w:val="000000"/>
          <w:kern w:val="0"/>
          <w:sz w:val="24"/>
        </w:rPr>
        <w:t>13、我方承诺：采购人若需追加采购本项目磋商文件所列货物或服务的，在不改变合同其他实质性条款的前提下，按相同或更优惠的折扣率保证供货。</w:t>
      </w:r>
    </w:p>
    <w:p>
      <w:pPr>
        <w:widowControl/>
        <w:snapToGrid w:val="0"/>
        <w:spacing w:line="360" w:lineRule="auto"/>
        <w:ind w:firstLine="480" w:firstLineChars="200"/>
        <w:jc w:val="left"/>
        <w:rPr>
          <w:color w:val="000000"/>
          <w:kern w:val="0"/>
          <w:sz w:val="24"/>
        </w:rPr>
      </w:pPr>
      <w:r>
        <w:rPr>
          <w:color w:val="000000"/>
          <w:kern w:val="0"/>
          <w:sz w:val="24"/>
        </w:rPr>
        <w:t>14、我方承诺接受磋商文件中《合同原则》的全部条款且无任何异议。</w:t>
      </w:r>
    </w:p>
    <w:p>
      <w:pPr>
        <w:widowControl/>
        <w:snapToGrid w:val="0"/>
        <w:spacing w:line="360" w:lineRule="auto"/>
        <w:ind w:firstLine="480" w:firstLineChars="200"/>
        <w:jc w:val="left"/>
        <w:rPr>
          <w:color w:val="000000"/>
          <w:kern w:val="0"/>
          <w:sz w:val="24"/>
        </w:rPr>
      </w:pPr>
      <w:r>
        <w:rPr>
          <w:color w:val="000000"/>
          <w:kern w:val="0"/>
          <w:sz w:val="24"/>
        </w:rPr>
        <w:t>15、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行政管理部门吊销营业执照；构成犯罪的，依法追究刑事责任：</w:t>
      </w:r>
    </w:p>
    <w:p>
      <w:pPr>
        <w:widowControl/>
        <w:snapToGrid w:val="0"/>
        <w:spacing w:line="360" w:lineRule="auto"/>
        <w:ind w:firstLine="480" w:firstLineChars="200"/>
        <w:jc w:val="left"/>
        <w:rPr>
          <w:color w:val="000000"/>
          <w:kern w:val="0"/>
          <w:sz w:val="24"/>
        </w:rPr>
      </w:pPr>
      <w:r>
        <w:rPr>
          <w:color w:val="000000"/>
          <w:kern w:val="0"/>
          <w:sz w:val="24"/>
        </w:rPr>
        <w:t>（1）提供虚假材料谋取成交、成交的；</w:t>
      </w:r>
    </w:p>
    <w:p>
      <w:pPr>
        <w:widowControl/>
        <w:snapToGrid w:val="0"/>
        <w:spacing w:line="360" w:lineRule="auto"/>
        <w:ind w:firstLine="480" w:firstLineChars="200"/>
        <w:jc w:val="left"/>
        <w:rPr>
          <w:color w:val="000000"/>
          <w:kern w:val="0"/>
          <w:sz w:val="24"/>
        </w:rPr>
      </w:pPr>
      <w:r>
        <w:rPr>
          <w:color w:val="000000"/>
          <w:kern w:val="0"/>
          <w:sz w:val="24"/>
        </w:rPr>
        <w:t>（2）采取不正当手段诋毁、排挤其他供应商的；</w:t>
      </w:r>
    </w:p>
    <w:p>
      <w:pPr>
        <w:widowControl/>
        <w:snapToGrid w:val="0"/>
        <w:spacing w:line="360" w:lineRule="auto"/>
        <w:ind w:firstLine="480" w:firstLineChars="200"/>
        <w:jc w:val="left"/>
        <w:rPr>
          <w:color w:val="000000"/>
          <w:kern w:val="0"/>
          <w:sz w:val="24"/>
        </w:rPr>
      </w:pPr>
      <w:r>
        <w:rPr>
          <w:color w:val="000000"/>
          <w:kern w:val="0"/>
          <w:sz w:val="24"/>
        </w:rPr>
        <w:t>（3）与采购人、其它供应商或者采购代理机构工作人员恶意串通的；</w:t>
      </w:r>
    </w:p>
    <w:p>
      <w:pPr>
        <w:widowControl/>
        <w:snapToGrid w:val="0"/>
        <w:spacing w:line="360" w:lineRule="auto"/>
        <w:ind w:firstLine="480" w:firstLineChars="200"/>
        <w:jc w:val="left"/>
        <w:rPr>
          <w:color w:val="000000"/>
          <w:kern w:val="0"/>
          <w:sz w:val="24"/>
        </w:rPr>
      </w:pPr>
      <w:r>
        <w:rPr>
          <w:color w:val="000000"/>
          <w:kern w:val="0"/>
          <w:sz w:val="24"/>
        </w:rPr>
        <w:t>（4）向采购人、采购代理机构工作人员行贿或者提供其他不正当利益的；</w:t>
      </w:r>
    </w:p>
    <w:p>
      <w:pPr>
        <w:widowControl/>
        <w:snapToGrid w:val="0"/>
        <w:spacing w:line="360" w:lineRule="auto"/>
        <w:ind w:firstLine="480" w:firstLineChars="200"/>
        <w:jc w:val="left"/>
        <w:rPr>
          <w:color w:val="000000"/>
          <w:kern w:val="0"/>
          <w:sz w:val="24"/>
        </w:rPr>
      </w:pPr>
      <w:r>
        <w:rPr>
          <w:color w:val="000000"/>
          <w:kern w:val="0"/>
          <w:sz w:val="24"/>
        </w:rPr>
        <w:t>（5）拒绝有关部门监督检查或提供虚假情况的。</w:t>
      </w:r>
    </w:p>
    <w:p>
      <w:pPr>
        <w:widowControl/>
        <w:snapToGrid w:val="0"/>
        <w:spacing w:line="360" w:lineRule="auto"/>
        <w:jc w:val="left"/>
        <w:rPr>
          <w:color w:val="000000"/>
          <w:kern w:val="0"/>
          <w:sz w:val="24"/>
        </w:rPr>
      </w:pPr>
    </w:p>
    <w:p>
      <w:pPr>
        <w:widowControl/>
        <w:snapToGrid w:val="0"/>
        <w:spacing w:line="360" w:lineRule="auto"/>
        <w:jc w:val="left"/>
        <w:rPr>
          <w:color w:val="000000"/>
          <w:kern w:val="0"/>
          <w:sz w:val="24"/>
        </w:rPr>
      </w:pPr>
      <w:r>
        <w:rPr>
          <w:color w:val="000000"/>
          <w:kern w:val="0"/>
          <w:sz w:val="24"/>
        </w:rPr>
        <w:t>所有有关本报价的一切往来联系方式为：</w:t>
      </w:r>
    </w:p>
    <w:p>
      <w:pPr>
        <w:widowControl/>
        <w:snapToGrid w:val="0"/>
        <w:spacing w:line="360" w:lineRule="auto"/>
        <w:jc w:val="left"/>
        <w:rPr>
          <w:color w:val="000000"/>
          <w:kern w:val="0"/>
          <w:sz w:val="24"/>
        </w:rPr>
      </w:pPr>
      <w:r>
        <w:rPr>
          <w:color w:val="000000"/>
          <w:kern w:val="0"/>
          <w:sz w:val="24"/>
        </w:rPr>
        <w:t>地址：</w:t>
      </w:r>
      <w:r>
        <w:rPr>
          <w:color w:val="000000"/>
          <w:kern w:val="0"/>
          <w:sz w:val="24"/>
        </w:rPr>
        <w:tab/>
      </w:r>
      <w:r>
        <w:rPr>
          <w:color w:val="000000"/>
          <w:kern w:val="0"/>
          <w:sz w:val="24"/>
        </w:rPr>
        <w:t xml:space="preserve">                         邮编：</w:t>
      </w:r>
    </w:p>
    <w:p>
      <w:pPr>
        <w:widowControl/>
        <w:snapToGrid w:val="0"/>
        <w:spacing w:line="360" w:lineRule="auto"/>
        <w:jc w:val="left"/>
        <w:rPr>
          <w:color w:val="000000"/>
          <w:kern w:val="0"/>
          <w:sz w:val="24"/>
        </w:rPr>
      </w:pPr>
      <w:r>
        <w:rPr>
          <w:color w:val="000000"/>
          <w:kern w:val="0"/>
          <w:sz w:val="24"/>
        </w:rPr>
        <w:t>电话：</w:t>
      </w:r>
      <w:r>
        <w:rPr>
          <w:color w:val="000000"/>
          <w:kern w:val="0"/>
          <w:sz w:val="24"/>
        </w:rPr>
        <w:tab/>
      </w:r>
      <w:r>
        <w:rPr>
          <w:color w:val="000000"/>
          <w:kern w:val="0"/>
          <w:sz w:val="24"/>
        </w:rPr>
        <w:t xml:space="preserve">                         传真：</w:t>
      </w:r>
    </w:p>
    <w:p>
      <w:pPr>
        <w:widowControl/>
        <w:tabs>
          <w:tab w:val="left" w:pos="480"/>
        </w:tabs>
        <w:snapToGrid w:val="0"/>
        <w:spacing w:line="360" w:lineRule="auto"/>
        <w:jc w:val="left"/>
        <w:rPr>
          <w:color w:val="000000"/>
          <w:kern w:val="0"/>
          <w:sz w:val="24"/>
        </w:rPr>
      </w:pPr>
      <w:r>
        <w:rPr>
          <w:color w:val="000000"/>
          <w:kern w:val="0"/>
          <w:sz w:val="24"/>
        </w:rPr>
        <w:t>供应商授权代表姓名：</w:t>
      </w:r>
    </w:p>
    <w:p>
      <w:pPr>
        <w:widowControl/>
        <w:tabs>
          <w:tab w:val="left" w:pos="480"/>
        </w:tabs>
        <w:snapToGrid w:val="0"/>
        <w:spacing w:line="360" w:lineRule="auto"/>
        <w:jc w:val="left"/>
        <w:rPr>
          <w:color w:val="000000"/>
          <w:kern w:val="0"/>
          <w:sz w:val="24"/>
        </w:rPr>
      </w:pPr>
      <w:r>
        <w:rPr>
          <w:color w:val="000000"/>
          <w:kern w:val="0"/>
          <w:sz w:val="24"/>
        </w:rPr>
        <w:t>供应商授权代表联系电话：     （办公）   （移动）</w:t>
      </w:r>
    </w:p>
    <w:p>
      <w:pPr>
        <w:widowControl/>
        <w:tabs>
          <w:tab w:val="left" w:pos="480"/>
        </w:tabs>
        <w:snapToGrid w:val="0"/>
        <w:spacing w:line="360" w:lineRule="auto"/>
        <w:jc w:val="left"/>
        <w:rPr>
          <w:color w:val="000000"/>
          <w:kern w:val="0"/>
          <w:sz w:val="24"/>
        </w:rPr>
      </w:pPr>
      <w:r>
        <w:rPr>
          <w:color w:val="000000"/>
          <w:kern w:val="0"/>
          <w:sz w:val="24"/>
        </w:rPr>
        <w:t>E-mail：</w:t>
      </w:r>
    </w:p>
    <w:p>
      <w:pPr>
        <w:widowControl/>
        <w:tabs>
          <w:tab w:val="left" w:pos="0"/>
        </w:tabs>
        <w:snapToGrid w:val="0"/>
        <w:spacing w:line="360" w:lineRule="auto"/>
        <w:ind w:firstLine="4108" w:firstLineChars="1712"/>
        <w:jc w:val="left"/>
        <w:rPr>
          <w:color w:val="000000"/>
          <w:kern w:val="0"/>
          <w:sz w:val="24"/>
        </w:rPr>
      </w:pPr>
    </w:p>
    <w:p>
      <w:pPr>
        <w:widowControl/>
        <w:tabs>
          <w:tab w:val="left" w:pos="0"/>
        </w:tabs>
        <w:snapToGrid w:val="0"/>
        <w:spacing w:line="360" w:lineRule="auto"/>
        <w:ind w:firstLine="4108" w:firstLineChars="1712"/>
        <w:jc w:val="left"/>
        <w:rPr>
          <w:color w:val="000000"/>
          <w:kern w:val="0"/>
          <w:sz w:val="24"/>
        </w:rPr>
      </w:pPr>
      <w:r>
        <w:rPr>
          <w:color w:val="000000"/>
          <w:kern w:val="0"/>
          <w:sz w:val="24"/>
        </w:rPr>
        <w:t>供应商（公章）：</w:t>
      </w:r>
    </w:p>
    <w:p>
      <w:pPr>
        <w:widowControl/>
        <w:tabs>
          <w:tab w:val="left" w:pos="0"/>
        </w:tabs>
        <w:snapToGrid w:val="0"/>
        <w:spacing w:line="360" w:lineRule="auto"/>
        <w:ind w:firstLine="4108" w:firstLineChars="1712"/>
        <w:jc w:val="left"/>
        <w:rPr>
          <w:color w:val="000000"/>
          <w:kern w:val="0"/>
          <w:sz w:val="24"/>
        </w:rPr>
      </w:pPr>
      <w:r>
        <w:rPr>
          <w:color w:val="000000"/>
          <w:kern w:val="0"/>
          <w:sz w:val="24"/>
        </w:rPr>
        <w:t>供应商授权代表（签字或盖章）：</w:t>
      </w:r>
    </w:p>
    <w:p>
      <w:pPr>
        <w:widowControl/>
        <w:tabs>
          <w:tab w:val="left" w:pos="0"/>
        </w:tabs>
        <w:snapToGrid w:val="0"/>
        <w:spacing w:line="360" w:lineRule="auto"/>
        <w:ind w:firstLine="4108" w:firstLineChars="1712"/>
        <w:jc w:val="left"/>
        <w:rPr>
          <w:color w:val="000000"/>
          <w:kern w:val="0"/>
          <w:sz w:val="24"/>
        </w:rPr>
      </w:pPr>
      <w:r>
        <w:rPr>
          <w:color w:val="000000"/>
          <w:kern w:val="0"/>
          <w:sz w:val="24"/>
        </w:rPr>
        <w:t>日    期：</w:t>
      </w:r>
    </w:p>
    <w:p>
      <w:pPr>
        <w:widowControl/>
        <w:snapToGrid w:val="0"/>
        <w:spacing w:line="360" w:lineRule="auto"/>
        <w:jc w:val="center"/>
        <w:rPr>
          <w:b/>
          <w:color w:val="000000"/>
          <w:kern w:val="0"/>
          <w:sz w:val="28"/>
          <w:szCs w:val="28"/>
        </w:rPr>
      </w:pPr>
      <w:r>
        <w:rPr>
          <w:color w:val="000000"/>
          <w:kern w:val="0"/>
          <w:sz w:val="28"/>
          <w:szCs w:val="28"/>
        </w:rPr>
        <w:br w:type="page"/>
      </w:r>
      <w:r>
        <w:rPr>
          <w:b/>
          <w:color w:val="000000"/>
          <w:kern w:val="0"/>
          <w:sz w:val="28"/>
          <w:szCs w:val="28"/>
        </w:rPr>
        <w:t>法定代表人身份证明书（格式）</w:t>
      </w:r>
    </w:p>
    <w:p>
      <w:pPr>
        <w:widowControl/>
        <w:snapToGrid w:val="0"/>
        <w:spacing w:line="360" w:lineRule="auto"/>
        <w:ind w:firstLine="570"/>
        <w:jc w:val="center"/>
        <w:rPr>
          <w:color w:val="000000"/>
          <w:kern w:val="0"/>
          <w:sz w:val="36"/>
          <w:szCs w:val="20"/>
        </w:rPr>
      </w:pPr>
    </w:p>
    <w:p>
      <w:pPr>
        <w:widowControl/>
        <w:snapToGrid w:val="0"/>
        <w:spacing w:line="360" w:lineRule="auto"/>
        <w:ind w:firstLine="570"/>
        <w:jc w:val="center"/>
        <w:rPr>
          <w:color w:val="000000"/>
          <w:kern w:val="0"/>
          <w:sz w:val="24"/>
        </w:rPr>
      </w:pPr>
    </w:p>
    <w:p>
      <w:pPr>
        <w:widowControl/>
        <w:snapToGrid w:val="0"/>
        <w:spacing w:line="360" w:lineRule="auto"/>
        <w:jc w:val="left"/>
        <w:rPr>
          <w:color w:val="000000"/>
          <w:kern w:val="0"/>
          <w:sz w:val="24"/>
        </w:rPr>
      </w:pPr>
      <w:r>
        <w:rPr>
          <w:color w:val="000000"/>
          <w:kern w:val="0"/>
          <w:sz w:val="24"/>
        </w:rPr>
        <w:t>单位名称：</w:t>
      </w:r>
    </w:p>
    <w:p>
      <w:pPr>
        <w:widowControl/>
        <w:snapToGrid w:val="0"/>
        <w:spacing w:line="360" w:lineRule="auto"/>
        <w:jc w:val="left"/>
        <w:rPr>
          <w:color w:val="000000"/>
          <w:kern w:val="0"/>
          <w:sz w:val="24"/>
        </w:rPr>
      </w:pPr>
      <w:r>
        <w:rPr>
          <w:color w:val="000000"/>
          <w:kern w:val="0"/>
          <w:sz w:val="24"/>
        </w:rPr>
        <w:t>单位性质：</w:t>
      </w:r>
    </w:p>
    <w:p>
      <w:pPr>
        <w:widowControl/>
        <w:snapToGrid w:val="0"/>
        <w:spacing w:line="360" w:lineRule="auto"/>
        <w:jc w:val="left"/>
        <w:rPr>
          <w:color w:val="000000"/>
          <w:kern w:val="0"/>
          <w:sz w:val="24"/>
        </w:rPr>
      </w:pPr>
      <w:r>
        <w:rPr>
          <w:color w:val="000000"/>
          <w:kern w:val="0"/>
          <w:sz w:val="24"/>
        </w:rPr>
        <w:t>地    址：</w:t>
      </w:r>
    </w:p>
    <w:p>
      <w:pPr>
        <w:widowControl/>
        <w:snapToGrid w:val="0"/>
        <w:spacing w:line="360" w:lineRule="auto"/>
        <w:jc w:val="left"/>
        <w:rPr>
          <w:color w:val="000000"/>
          <w:kern w:val="0"/>
          <w:sz w:val="24"/>
        </w:rPr>
      </w:pPr>
      <w:r>
        <w:rPr>
          <w:color w:val="000000"/>
          <w:kern w:val="0"/>
          <w:sz w:val="24"/>
        </w:rPr>
        <w:t>成立时间：    年    月    日</w:t>
      </w:r>
    </w:p>
    <w:p>
      <w:pPr>
        <w:widowControl/>
        <w:snapToGrid w:val="0"/>
        <w:spacing w:line="360" w:lineRule="auto"/>
        <w:jc w:val="left"/>
        <w:rPr>
          <w:color w:val="000000"/>
          <w:kern w:val="0"/>
          <w:sz w:val="24"/>
        </w:rPr>
      </w:pPr>
      <w:r>
        <w:rPr>
          <w:color w:val="000000"/>
          <w:kern w:val="0"/>
          <w:sz w:val="24"/>
        </w:rPr>
        <w:t>经营期限：</w:t>
      </w:r>
    </w:p>
    <w:p>
      <w:pPr>
        <w:widowControl/>
        <w:snapToGrid w:val="0"/>
        <w:spacing w:line="360" w:lineRule="auto"/>
        <w:jc w:val="left"/>
        <w:rPr>
          <w:color w:val="000000"/>
          <w:kern w:val="0"/>
          <w:sz w:val="24"/>
        </w:rPr>
      </w:pPr>
      <w:r>
        <w:rPr>
          <w:color w:val="000000"/>
          <w:kern w:val="0"/>
          <w:sz w:val="24"/>
        </w:rPr>
        <w:t>姓    名：              性  别：</w:t>
      </w:r>
    </w:p>
    <w:p>
      <w:pPr>
        <w:widowControl/>
        <w:snapToGrid w:val="0"/>
        <w:spacing w:line="360" w:lineRule="auto"/>
        <w:jc w:val="left"/>
        <w:rPr>
          <w:color w:val="000000"/>
          <w:kern w:val="0"/>
          <w:sz w:val="24"/>
        </w:rPr>
      </w:pPr>
      <w:r>
        <w:rPr>
          <w:color w:val="000000"/>
          <w:kern w:val="0"/>
          <w:sz w:val="24"/>
        </w:rPr>
        <w:t>年    龄：              职  务：</w:t>
      </w:r>
    </w:p>
    <w:p>
      <w:pPr>
        <w:widowControl/>
        <w:snapToGrid w:val="0"/>
        <w:spacing w:line="360" w:lineRule="auto"/>
        <w:jc w:val="left"/>
        <w:rPr>
          <w:color w:val="000000"/>
          <w:kern w:val="0"/>
          <w:sz w:val="24"/>
        </w:rPr>
      </w:pPr>
      <w:r>
        <w:rPr>
          <w:color w:val="000000"/>
          <w:kern w:val="0"/>
          <w:sz w:val="24"/>
        </w:rPr>
        <w:t xml:space="preserve">    系       （供应商名称）          的法定代表人。</w:t>
      </w:r>
    </w:p>
    <w:p>
      <w:pPr>
        <w:widowControl/>
        <w:snapToGrid w:val="0"/>
        <w:spacing w:line="360" w:lineRule="auto"/>
        <w:jc w:val="left"/>
        <w:rPr>
          <w:color w:val="000000"/>
          <w:kern w:val="0"/>
          <w:sz w:val="24"/>
        </w:rPr>
      </w:pPr>
    </w:p>
    <w:p>
      <w:pPr>
        <w:widowControl/>
        <w:snapToGrid w:val="0"/>
        <w:spacing w:line="360" w:lineRule="auto"/>
        <w:jc w:val="left"/>
        <w:rPr>
          <w:color w:val="000000"/>
          <w:kern w:val="0"/>
          <w:sz w:val="24"/>
        </w:rPr>
      </w:pPr>
    </w:p>
    <w:p>
      <w:pPr>
        <w:widowControl/>
        <w:snapToGrid w:val="0"/>
        <w:spacing w:line="360" w:lineRule="auto"/>
        <w:ind w:firstLine="960" w:firstLineChars="400"/>
        <w:jc w:val="left"/>
        <w:rPr>
          <w:color w:val="000000"/>
          <w:kern w:val="0"/>
          <w:sz w:val="24"/>
        </w:rPr>
      </w:pPr>
      <w:r>
        <w:rPr>
          <w:color w:val="000000"/>
          <w:kern w:val="0"/>
          <w:sz w:val="24"/>
        </w:rPr>
        <w:t>特此证明。</w:t>
      </w:r>
    </w:p>
    <w:p>
      <w:pPr>
        <w:widowControl/>
        <w:snapToGrid w:val="0"/>
        <w:spacing w:line="360" w:lineRule="auto"/>
        <w:jc w:val="left"/>
        <w:rPr>
          <w:color w:val="000000"/>
          <w:kern w:val="0"/>
          <w:sz w:val="24"/>
        </w:rPr>
      </w:pPr>
    </w:p>
    <w:p>
      <w:pPr>
        <w:widowControl/>
        <w:snapToGrid w:val="0"/>
        <w:spacing w:line="360" w:lineRule="auto"/>
        <w:jc w:val="left"/>
        <w:rPr>
          <w:color w:val="000000"/>
          <w:kern w:val="0"/>
          <w:sz w:val="24"/>
        </w:rPr>
      </w:pPr>
    </w:p>
    <w:p>
      <w:pPr>
        <w:widowControl/>
        <w:snapToGrid w:val="0"/>
        <w:spacing w:line="360" w:lineRule="auto"/>
        <w:jc w:val="left"/>
        <w:rPr>
          <w:color w:val="000000"/>
          <w:kern w:val="0"/>
          <w:sz w:val="24"/>
        </w:rPr>
      </w:pPr>
    </w:p>
    <w:p>
      <w:pPr>
        <w:widowControl/>
        <w:tabs>
          <w:tab w:val="left" w:pos="0"/>
        </w:tabs>
        <w:snapToGrid w:val="0"/>
        <w:spacing w:line="360" w:lineRule="auto"/>
        <w:ind w:firstLine="4108" w:firstLineChars="1712"/>
        <w:jc w:val="left"/>
        <w:rPr>
          <w:color w:val="000000"/>
          <w:kern w:val="0"/>
          <w:sz w:val="24"/>
        </w:rPr>
      </w:pPr>
      <w:r>
        <w:rPr>
          <w:color w:val="000000"/>
          <w:kern w:val="0"/>
          <w:sz w:val="24"/>
        </w:rPr>
        <w:t>供应商（公章）：</w:t>
      </w:r>
    </w:p>
    <w:p>
      <w:pPr>
        <w:widowControl/>
        <w:tabs>
          <w:tab w:val="left" w:pos="0"/>
        </w:tabs>
        <w:snapToGrid w:val="0"/>
        <w:spacing w:line="360" w:lineRule="auto"/>
        <w:ind w:firstLine="4108" w:firstLineChars="1712"/>
        <w:jc w:val="left"/>
        <w:rPr>
          <w:color w:val="000000"/>
          <w:kern w:val="0"/>
          <w:sz w:val="24"/>
        </w:rPr>
      </w:pPr>
      <w:r>
        <w:rPr>
          <w:color w:val="000000"/>
          <w:kern w:val="0"/>
          <w:sz w:val="24"/>
        </w:rPr>
        <w:t>日    期：</w:t>
      </w:r>
    </w:p>
    <w:p>
      <w:pPr>
        <w:widowControl/>
        <w:snapToGrid w:val="0"/>
        <w:spacing w:line="360" w:lineRule="auto"/>
        <w:jc w:val="left"/>
        <w:rPr>
          <w:color w:val="000000"/>
          <w:kern w:val="0"/>
          <w:sz w:val="24"/>
        </w:rPr>
      </w:pPr>
    </w:p>
    <w:p>
      <w:pPr>
        <w:widowControl/>
        <w:snapToGrid w:val="0"/>
        <w:spacing w:line="360" w:lineRule="auto"/>
        <w:rPr>
          <w:color w:val="000000"/>
          <w:kern w:val="0"/>
          <w:sz w:val="30"/>
          <w:szCs w:val="30"/>
        </w:rPr>
      </w:pPr>
    </w:p>
    <w:p>
      <w:pPr>
        <w:widowControl/>
        <w:snapToGrid w:val="0"/>
        <w:spacing w:line="360" w:lineRule="auto"/>
        <w:rPr>
          <w:color w:val="000000"/>
          <w:kern w:val="0"/>
          <w:sz w:val="30"/>
          <w:szCs w:val="30"/>
        </w:rPr>
      </w:pPr>
    </w:p>
    <w:p>
      <w:pPr>
        <w:widowControl/>
        <w:snapToGrid w:val="0"/>
        <w:spacing w:line="360" w:lineRule="auto"/>
        <w:rPr>
          <w:color w:val="000000"/>
          <w:kern w:val="0"/>
          <w:sz w:val="24"/>
        </w:rPr>
      </w:pPr>
      <w:r>
        <w:rPr>
          <w:color w:val="000000"/>
          <w:kern w:val="0"/>
          <w:sz w:val="24"/>
        </w:rPr>
        <w:t>附：法人身份证复印件（正反面）</w:t>
      </w:r>
    </w:p>
    <w:p>
      <w:pPr>
        <w:widowControl/>
        <w:snapToGrid w:val="0"/>
        <w:spacing w:line="360" w:lineRule="auto"/>
        <w:jc w:val="center"/>
        <w:rPr>
          <w:b/>
          <w:color w:val="000000"/>
          <w:kern w:val="0"/>
          <w:sz w:val="28"/>
          <w:szCs w:val="28"/>
        </w:rPr>
      </w:pPr>
      <w:r>
        <w:rPr>
          <w:color w:val="000000"/>
          <w:kern w:val="0"/>
          <w:sz w:val="30"/>
          <w:szCs w:val="30"/>
        </w:rPr>
        <w:br w:type="page"/>
      </w:r>
      <w:r>
        <w:rPr>
          <w:b/>
          <w:color w:val="000000"/>
          <w:kern w:val="0"/>
          <w:sz w:val="28"/>
          <w:szCs w:val="28"/>
        </w:rPr>
        <w:t>法定代表人授权委托书  （格式）</w:t>
      </w:r>
    </w:p>
    <w:p>
      <w:pPr>
        <w:widowControl/>
        <w:snapToGrid w:val="0"/>
        <w:spacing w:line="360" w:lineRule="auto"/>
        <w:jc w:val="left"/>
        <w:rPr>
          <w:color w:val="000000"/>
          <w:kern w:val="0"/>
          <w:sz w:val="24"/>
        </w:rPr>
      </w:pPr>
    </w:p>
    <w:p>
      <w:pPr>
        <w:widowControl/>
        <w:tabs>
          <w:tab w:val="left" w:pos="4860"/>
        </w:tabs>
        <w:snapToGrid w:val="0"/>
        <w:spacing w:line="360" w:lineRule="auto"/>
        <w:jc w:val="left"/>
        <w:rPr>
          <w:bCs/>
          <w:color w:val="000000"/>
          <w:kern w:val="0"/>
          <w:sz w:val="24"/>
        </w:rPr>
      </w:pPr>
      <w:r>
        <w:rPr>
          <w:rFonts w:hint="eastAsia"/>
          <w:bCs/>
          <w:color w:val="000000"/>
          <w:kern w:val="0"/>
          <w:sz w:val="24"/>
          <w:lang w:eastAsia="zh-CN"/>
        </w:rPr>
        <w:t>太原市迎泽区市场监督管理局</w:t>
      </w:r>
      <w:r>
        <w:rPr>
          <w:bCs/>
          <w:color w:val="000000"/>
          <w:kern w:val="0"/>
          <w:sz w:val="24"/>
        </w:rPr>
        <w:t>、山西省国际招标有限公司：</w:t>
      </w:r>
    </w:p>
    <w:p>
      <w:pPr>
        <w:widowControl/>
        <w:snapToGrid w:val="0"/>
        <w:spacing w:line="360" w:lineRule="auto"/>
        <w:jc w:val="left"/>
        <w:rPr>
          <w:color w:val="000000"/>
          <w:kern w:val="0"/>
          <w:sz w:val="28"/>
          <w:szCs w:val="28"/>
        </w:rPr>
      </w:pPr>
    </w:p>
    <w:p>
      <w:pPr>
        <w:widowControl/>
        <w:snapToGrid w:val="0"/>
        <w:spacing w:line="360" w:lineRule="auto"/>
        <w:ind w:firstLine="480" w:firstLineChars="200"/>
        <w:jc w:val="left"/>
        <w:rPr>
          <w:color w:val="000000"/>
          <w:kern w:val="0"/>
          <w:sz w:val="24"/>
        </w:rPr>
      </w:pPr>
      <w:r>
        <w:rPr>
          <w:color w:val="000000"/>
          <w:kern w:val="0"/>
          <w:sz w:val="24"/>
        </w:rPr>
        <w:t>本授权书声明：注册于</w:t>
      </w:r>
      <w:r>
        <w:rPr>
          <w:color w:val="000000"/>
          <w:kern w:val="0"/>
          <w:sz w:val="24"/>
          <w:u w:val="single"/>
        </w:rPr>
        <w:t xml:space="preserve">       </w:t>
      </w:r>
      <w:r>
        <w:rPr>
          <w:color w:val="000000"/>
          <w:kern w:val="0"/>
          <w:sz w:val="24"/>
        </w:rPr>
        <w:t>（供应商住址）的</w:t>
      </w:r>
      <w:r>
        <w:rPr>
          <w:color w:val="000000"/>
          <w:kern w:val="0"/>
          <w:sz w:val="24"/>
          <w:u w:val="single"/>
        </w:rPr>
        <w:t xml:space="preserve">      </w:t>
      </w:r>
      <w:r>
        <w:rPr>
          <w:color w:val="000000"/>
          <w:kern w:val="0"/>
          <w:sz w:val="24"/>
        </w:rPr>
        <w:t>（供应商名称）法定代表人</w:t>
      </w:r>
      <w:r>
        <w:rPr>
          <w:color w:val="000000"/>
          <w:kern w:val="0"/>
          <w:sz w:val="24"/>
          <w:u w:val="single"/>
        </w:rPr>
        <w:t xml:space="preserve">       </w:t>
      </w:r>
      <w:r>
        <w:rPr>
          <w:color w:val="000000"/>
          <w:kern w:val="0"/>
          <w:sz w:val="24"/>
        </w:rPr>
        <w:t>（法定代表人姓名、职务）代表本公司授权在下面签字的</w:t>
      </w:r>
      <w:r>
        <w:rPr>
          <w:color w:val="000000"/>
          <w:kern w:val="0"/>
          <w:sz w:val="24"/>
          <w:u w:val="single"/>
        </w:rPr>
        <w:t xml:space="preserve">    </w:t>
      </w:r>
      <w:r>
        <w:rPr>
          <w:color w:val="000000"/>
          <w:kern w:val="0"/>
          <w:sz w:val="24"/>
        </w:rPr>
        <w:t>（供应商授权代表姓名、职务）为本公司的合法代理人，就贵方组织的</w:t>
      </w:r>
      <w:r>
        <w:rPr>
          <w:color w:val="000000"/>
          <w:kern w:val="0"/>
          <w:sz w:val="24"/>
          <w:u w:val="single"/>
        </w:rPr>
        <w:t xml:space="preserve">      </w:t>
      </w:r>
      <w:r>
        <w:rPr>
          <w:color w:val="000000"/>
          <w:kern w:val="0"/>
          <w:sz w:val="24"/>
        </w:rPr>
        <w:t>项目，项目编号：</w:t>
      </w:r>
      <w:r>
        <w:rPr>
          <w:color w:val="000000"/>
          <w:kern w:val="0"/>
          <w:sz w:val="24"/>
          <w:u w:val="single"/>
        </w:rPr>
        <w:t xml:space="preserve">        </w:t>
      </w:r>
      <w:r>
        <w:rPr>
          <w:color w:val="000000"/>
          <w:kern w:val="0"/>
          <w:sz w:val="24"/>
        </w:rPr>
        <w:t>，以本公司名义处理一切与之有关的事务。</w:t>
      </w:r>
    </w:p>
    <w:p>
      <w:pPr>
        <w:widowControl/>
        <w:snapToGrid w:val="0"/>
        <w:spacing w:line="360" w:lineRule="auto"/>
        <w:ind w:firstLine="480" w:firstLineChars="200"/>
        <w:jc w:val="left"/>
        <w:rPr>
          <w:color w:val="000000"/>
          <w:kern w:val="0"/>
          <w:sz w:val="24"/>
        </w:rPr>
      </w:pPr>
      <w:r>
        <w:rPr>
          <w:color w:val="000000"/>
          <w:kern w:val="0"/>
          <w:sz w:val="24"/>
        </w:rPr>
        <w:t>本授权书于    年  月  日生效，特此声明。</w:t>
      </w:r>
    </w:p>
    <w:p>
      <w:pPr>
        <w:widowControl/>
        <w:snapToGrid w:val="0"/>
        <w:spacing w:line="360" w:lineRule="auto"/>
        <w:ind w:firstLine="480" w:firstLineChars="200"/>
        <w:jc w:val="left"/>
        <w:rPr>
          <w:color w:val="000000"/>
          <w:kern w:val="0"/>
          <w:sz w:val="24"/>
        </w:rPr>
      </w:pPr>
    </w:p>
    <w:p>
      <w:pPr>
        <w:widowControl/>
        <w:snapToGrid w:val="0"/>
        <w:spacing w:line="360" w:lineRule="auto"/>
        <w:ind w:firstLine="480" w:firstLineChars="200"/>
        <w:jc w:val="left"/>
        <w:rPr>
          <w:color w:val="000000"/>
          <w:kern w:val="0"/>
          <w:sz w:val="24"/>
        </w:rPr>
      </w:pPr>
    </w:p>
    <w:p>
      <w:pPr>
        <w:widowControl/>
        <w:snapToGrid w:val="0"/>
        <w:spacing w:line="360" w:lineRule="auto"/>
        <w:ind w:firstLine="480" w:firstLineChars="200"/>
        <w:jc w:val="left"/>
        <w:rPr>
          <w:color w:val="000000"/>
          <w:kern w:val="0"/>
          <w:sz w:val="24"/>
        </w:rPr>
      </w:pPr>
      <w:r>
        <w:rPr>
          <w:color w:val="000000"/>
          <w:kern w:val="0"/>
          <w:sz w:val="24"/>
        </w:rPr>
        <w:t>法定代表人签字或盖章：</w:t>
      </w:r>
      <w:r>
        <w:rPr>
          <w:color w:val="000000"/>
          <w:kern w:val="0"/>
          <w:sz w:val="24"/>
          <w:u w:val="single"/>
        </w:rPr>
        <w:t xml:space="preserve">                     </w:t>
      </w:r>
    </w:p>
    <w:p>
      <w:pPr>
        <w:widowControl/>
        <w:snapToGrid w:val="0"/>
        <w:spacing w:line="360" w:lineRule="auto"/>
        <w:ind w:firstLine="480" w:firstLineChars="200"/>
        <w:jc w:val="left"/>
        <w:rPr>
          <w:color w:val="000000"/>
          <w:kern w:val="0"/>
          <w:sz w:val="24"/>
        </w:rPr>
      </w:pPr>
    </w:p>
    <w:p>
      <w:pPr>
        <w:widowControl/>
        <w:snapToGrid w:val="0"/>
        <w:spacing w:line="360" w:lineRule="auto"/>
        <w:ind w:firstLine="480" w:firstLineChars="200"/>
        <w:jc w:val="left"/>
        <w:rPr>
          <w:color w:val="000000"/>
          <w:kern w:val="0"/>
          <w:sz w:val="24"/>
        </w:rPr>
      </w:pPr>
      <w:r>
        <w:rPr>
          <w:color w:val="000000"/>
          <w:kern w:val="0"/>
          <w:sz w:val="24"/>
        </w:rPr>
        <w:t>供应商授权代表签字或盖章：</w:t>
      </w:r>
      <w:r>
        <w:rPr>
          <w:color w:val="000000"/>
          <w:kern w:val="0"/>
          <w:sz w:val="24"/>
          <w:u w:val="single"/>
        </w:rPr>
        <w:t xml:space="preserve">                        </w:t>
      </w:r>
    </w:p>
    <w:p>
      <w:pPr>
        <w:widowControl/>
        <w:snapToGrid w:val="0"/>
        <w:spacing w:line="360" w:lineRule="auto"/>
        <w:jc w:val="left"/>
        <w:rPr>
          <w:color w:val="000000"/>
          <w:kern w:val="0"/>
          <w:sz w:val="24"/>
        </w:rPr>
      </w:pPr>
    </w:p>
    <w:p>
      <w:pPr>
        <w:widowControl/>
        <w:tabs>
          <w:tab w:val="left" w:pos="730"/>
        </w:tabs>
        <w:snapToGrid w:val="0"/>
        <w:spacing w:line="360" w:lineRule="auto"/>
        <w:ind w:firstLine="480" w:firstLineChars="200"/>
        <w:jc w:val="left"/>
        <w:rPr>
          <w:color w:val="000000"/>
          <w:kern w:val="0"/>
          <w:sz w:val="24"/>
        </w:rPr>
      </w:pPr>
      <w:r>
        <w:rPr>
          <w:color w:val="000000"/>
          <w:kern w:val="0"/>
          <w:sz w:val="24"/>
        </w:rPr>
        <w:t>供应商全称（盖公章）：</w:t>
      </w:r>
      <w:r>
        <w:rPr>
          <w:color w:val="000000"/>
          <w:kern w:val="0"/>
          <w:sz w:val="24"/>
          <w:u w:val="single"/>
        </w:rPr>
        <w:t xml:space="preserve">                             </w:t>
      </w:r>
    </w:p>
    <w:p>
      <w:pPr>
        <w:widowControl/>
        <w:tabs>
          <w:tab w:val="left" w:pos="1230"/>
        </w:tabs>
        <w:snapToGrid w:val="0"/>
        <w:spacing w:line="360" w:lineRule="auto"/>
        <w:jc w:val="left"/>
        <w:rPr>
          <w:color w:val="000000"/>
          <w:kern w:val="0"/>
          <w:sz w:val="24"/>
        </w:rPr>
      </w:pPr>
    </w:p>
    <w:p>
      <w:pPr>
        <w:widowControl/>
        <w:snapToGrid w:val="0"/>
        <w:spacing w:line="360" w:lineRule="auto"/>
        <w:ind w:left="560" w:hanging="560" w:hangingChars="200"/>
        <w:jc w:val="left"/>
        <w:rPr>
          <w:color w:val="000000"/>
          <w:kern w:val="0"/>
          <w:sz w:val="28"/>
          <w:szCs w:val="28"/>
        </w:rPr>
      </w:pPr>
    </w:p>
    <w:p>
      <w:pPr>
        <w:widowControl/>
        <w:snapToGrid w:val="0"/>
        <w:spacing w:line="360" w:lineRule="auto"/>
        <w:rPr>
          <w:color w:val="000000"/>
          <w:kern w:val="0"/>
          <w:sz w:val="24"/>
        </w:rPr>
      </w:pPr>
      <w:r>
        <w:rPr>
          <w:color w:val="000000"/>
          <w:kern w:val="0"/>
          <w:sz w:val="24"/>
        </w:rPr>
        <w:t>附：授权代表人身份证复印件（正反面）</w:t>
      </w:r>
    </w:p>
    <w:p>
      <w:pPr>
        <w:snapToGrid w:val="0"/>
        <w:spacing w:line="360" w:lineRule="auto"/>
        <w:jc w:val="center"/>
        <w:rPr>
          <w:color w:val="000000"/>
          <w:sz w:val="28"/>
          <w:szCs w:val="28"/>
        </w:rPr>
      </w:pPr>
      <w:r>
        <w:rPr>
          <w:color w:val="000000"/>
          <w:kern w:val="0"/>
          <w:sz w:val="28"/>
          <w:szCs w:val="28"/>
        </w:rPr>
        <w:br w:type="page"/>
      </w:r>
      <w:r>
        <w:rPr>
          <w:color w:val="000000"/>
          <w:kern w:val="0"/>
          <w:sz w:val="28"/>
          <w:szCs w:val="28"/>
        </w:rPr>
        <w:t>供应商信用</w:t>
      </w:r>
      <w:r>
        <w:rPr>
          <w:color w:val="000000"/>
          <w:sz w:val="28"/>
          <w:szCs w:val="28"/>
        </w:rPr>
        <w:t>承诺书</w:t>
      </w:r>
    </w:p>
    <w:p>
      <w:pPr>
        <w:snapToGrid w:val="0"/>
        <w:spacing w:line="360" w:lineRule="auto"/>
        <w:rPr>
          <w:rFonts w:eastAsia="华文中宋"/>
          <w:color w:val="000000"/>
          <w:szCs w:val="21"/>
        </w:rPr>
      </w:pPr>
    </w:p>
    <w:p>
      <w:pPr>
        <w:snapToGrid w:val="0"/>
        <w:spacing w:line="360" w:lineRule="auto"/>
        <w:rPr>
          <w:rFonts w:eastAsia="华文中宋"/>
          <w:color w:val="000000"/>
          <w:szCs w:val="21"/>
        </w:rPr>
      </w:pPr>
    </w:p>
    <w:p>
      <w:pPr>
        <w:widowControl/>
        <w:spacing w:line="360" w:lineRule="auto"/>
        <w:jc w:val="left"/>
        <w:rPr>
          <w:color w:val="000000"/>
          <w:kern w:val="0"/>
          <w:sz w:val="24"/>
        </w:rPr>
      </w:pPr>
      <w:r>
        <w:rPr>
          <w:rFonts w:hint="eastAsia"/>
          <w:bCs/>
          <w:color w:val="000000"/>
          <w:kern w:val="0"/>
          <w:sz w:val="24"/>
          <w:lang w:eastAsia="zh-CN"/>
        </w:rPr>
        <w:t>太原市迎泽区市场监督管理局</w:t>
      </w:r>
      <w:r>
        <w:rPr>
          <w:bCs/>
          <w:color w:val="000000"/>
          <w:kern w:val="0"/>
          <w:sz w:val="24"/>
        </w:rPr>
        <w:t>、山西省国际招标有限公司：</w:t>
      </w:r>
    </w:p>
    <w:p>
      <w:pPr>
        <w:snapToGrid w:val="0"/>
        <w:spacing w:line="360" w:lineRule="auto"/>
        <w:rPr>
          <w:rFonts w:eastAsia="华文中宋"/>
          <w:color w:val="000000"/>
          <w:sz w:val="24"/>
        </w:rPr>
      </w:pPr>
    </w:p>
    <w:p>
      <w:pPr>
        <w:snapToGrid w:val="0"/>
        <w:spacing w:line="360" w:lineRule="auto"/>
        <w:ind w:firstLine="480" w:firstLineChars="200"/>
        <w:rPr>
          <w:color w:val="000000"/>
          <w:kern w:val="0"/>
          <w:sz w:val="24"/>
        </w:rPr>
      </w:pPr>
      <w:r>
        <w:rPr>
          <w:color w:val="000000"/>
          <w:sz w:val="24"/>
        </w:rPr>
        <w:t>本供应商现参与</w:t>
      </w:r>
      <w:r>
        <w:rPr>
          <w:color w:val="000000"/>
          <w:sz w:val="24"/>
          <w:u w:val="single"/>
        </w:rPr>
        <w:t xml:space="preserve">                      </w:t>
      </w:r>
      <w:r>
        <w:rPr>
          <w:color w:val="000000"/>
          <w:sz w:val="24"/>
        </w:rPr>
        <w:t>项目（项目编号：</w:t>
      </w:r>
      <w:r>
        <w:rPr>
          <w:color w:val="000000"/>
          <w:sz w:val="24"/>
          <w:u w:val="single"/>
        </w:rPr>
        <w:t xml:space="preserve">             </w:t>
      </w:r>
      <w:r>
        <w:rPr>
          <w:color w:val="000000"/>
          <w:sz w:val="24"/>
        </w:rPr>
        <w:t>）的采购活动。根据</w:t>
      </w:r>
      <w:r>
        <w:rPr>
          <w:color w:val="000000"/>
          <w:kern w:val="0"/>
          <w:sz w:val="24"/>
        </w:rPr>
        <w:t>《中华人民共和国政府采购法》第二十二条规定，我公司作出如下承诺：</w:t>
      </w:r>
    </w:p>
    <w:p>
      <w:pPr>
        <w:pStyle w:val="30"/>
        <w:ind w:firstLine="480"/>
        <w:rPr>
          <w:color w:val="000000"/>
          <w:kern w:val="2"/>
          <w:sz w:val="24"/>
        </w:rPr>
      </w:pPr>
      <w:r>
        <w:rPr>
          <w:color w:val="000000"/>
          <w:kern w:val="2"/>
          <w:sz w:val="24"/>
        </w:rPr>
        <w:t>1、具有独立承担民事责任的能力；</w:t>
      </w:r>
    </w:p>
    <w:p>
      <w:pPr>
        <w:snapToGrid w:val="0"/>
        <w:spacing w:line="360" w:lineRule="auto"/>
        <w:ind w:firstLine="480" w:firstLineChars="200"/>
        <w:rPr>
          <w:color w:val="000000"/>
          <w:sz w:val="24"/>
        </w:rPr>
      </w:pPr>
      <w:r>
        <w:rPr>
          <w:color w:val="000000"/>
          <w:sz w:val="24"/>
        </w:rPr>
        <w:t>2、具有良好的商业信誉和健全的财务会计制度；</w:t>
      </w:r>
    </w:p>
    <w:p>
      <w:pPr>
        <w:snapToGrid w:val="0"/>
        <w:spacing w:line="360" w:lineRule="auto"/>
        <w:ind w:firstLine="480" w:firstLineChars="200"/>
        <w:rPr>
          <w:color w:val="000000"/>
          <w:sz w:val="24"/>
        </w:rPr>
      </w:pPr>
      <w:r>
        <w:rPr>
          <w:color w:val="000000"/>
          <w:sz w:val="24"/>
        </w:rPr>
        <w:t>3、具有依法缴纳税收的良好记录；</w:t>
      </w:r>
    </w:p>
    <w:p>
      <w:pPr>
        <w:snapToGrid w:val="0"/>
        <w:spacing w:line="360" w:lineRule="auto"/>
        <w:ind w:firstLine="480" w:firstLineChars="200"/>
        <w:rPr>
          <w:color w:val="000000"/>
          <w:sz w:val="24"/>
        </w:rPr>
      </w:pPr>
      <w:r>
        <w:rPr>
          <w:color w:val="000000"/>
          <w:sz w:val="24"/>
        </w:rPr>
        <w:t>4、具有依法缴纳社会保障资金的良好记录；</w:t>
      </w:r>
    </w:p>
    <w:p>
      <w:pPr>
        <w:snapToGrid w:val="0"/>
        <w:spacing w:line="360" w:lineRule="auto"/>
        <w:ind w:firstLine="480" w:firstLineChars="200"/>
        <w:rPr>
          <w:color w:val="000000"/>
          <w:sz w:val="24"/>
        </w:rPr>
      </w:pPr>
      <w:r>
        <w:rPr>
          <w:color w:val="000000"/>
          <w:sz w:val="24"/>
        </w:rPr>
        <w:t>5、具有履行合同所必需的设备和专业技术能力；</w:t>
      </w:r>
    </w:p>
    <w:p>
      <w:pPr>
        <w:snapToGrid w:val="0"/>
        <w:spacing w:line="360" w:lineRule="auto"/>
        <w:ind w:firstLine="480" w:firstLineChars="200"/>
        <w:rPr>
          <w:color w:val="000000"/>
          <w:sz w:val="24"/>
        </w:rPr>
      </w:pPr>
      <w:r>
        <w:rPr>
          <w:color w:val="000000"/>
          <w:sz w:val="24"/>
        </w:rPr>
        <w:t>6、参加政府采购活动前三年内，在经营活动中没有重大违法记录。</w:t>
      </w:r>
    </w:p>
    <w:p>
      <w:pPr>
        <w:snapToGrid w:val="0"/>
        <w:spacing w:line="360" w:lineRule="auto"/>
        <w:ind w:firstLine="480" w:firstLineChars="200"/>
        <w:rPr>
          <w:color w:val="000000"/>
          <w:sz w:val="24"/>
        </w:rPr>
      </w:pPr>
      <w:r>
        <w:rPr>
          <w:color w:val="000000"/>
          <w:sz w:val="24"/>
        </w:rPr>
        <w:t>如上述承诺不真实，愿意按照政府采购有关法律法规的规定接受处罚。</w:t>
      </w:r>
    </w:p>
    <w:p>
      <w:pPr>
        <w:snapToGrid w:val="0"/>
        <w:spacing w:line="360" w:lineRule="auto"/>
        <w:ind w:firstLine="480" w:firstLineChars="200"/>
        <w:rPr>
          <w:color w:val="000000"/>
          <w:sz w:val="24"/>
        </w:rPr>
      </w:pPr>
      <w:r>
        <w:rPr>
          <w:color w:val="000000"/>
          <w:sz w:val="24"/>
        </w:rPr>
        <w:t>特此声明</w:t>
      </w:r>
    </w:p>
    <w:p>
      <w:pPr>
        <w:widowControl/>
        <w:snapToGrid w:val="0"/>
        <w:spacing w:line="360" w:lineRule="auto"/>
        <w:jc w:val="center"/>
        <w:rPr>
          <w:color w:val="000000"/>
          <w:sz w:val="24"/>
        </w:rPr>
      </w:pPr>
    </w:p>
    <w:p>
      <w:pPr>
        <w:widowControl/>
        <w:snapToGrid w:val="0"/>
        <w:spacing w:line="360" w:lineRule="auto"/>
        <w:jc w:val="center"/>
        <w:rPr>
          <w:color w:val="000000"/>
          <w:sz w:val="24"/>
        </w:rPr>
      </w:pPr>
    </w:p>
    <w:p>
      <w:pPr>
        <w:widowControl/>
        <w:snapToGrid w:val="0"/>
        <w:spacing w:line="360" w:lineRule="auto"/>
        <w:jc w:val="center"/>
        <w:rPr>
          <w:color w:val="000000"/>
          <w:sz w:val="24"/>
        </w:rPr>
      </w:pPr>
    </w:p>
    <w:p>
      <w:pPr>
        <w:widowControl/>
        <w:snapToGrid w:val="0"/>
        <w:spacing w:line="360" w:lineRule="auto"/>
        <w:ind w:firstLine="4677" w:firstLineChars="1949"/>
        <w:jc w:val="left"/>
        <w:rPr>
          <w:color w:val="000000"/>
          <w:sz w:val="24"/>
        </w:rPr>
      </w:pPr>
      <w:r>
        <w:rPr>
          <w:color w:val="000000"/>
          <w:sz w:val="24"/>
        </w:rPr>
        <w:t>供应商(公章)：</w:t>
      </w:r>
    </w:p>
    <w:p>
      <w:pPr>
        <w:widowControl/>
        <w:snapToGrid w:val="0"/>
        <w:spacing w:line="360" w:lineRule="auto"/>
        <w:ind w:firstLine="4677" w:firstLineChars="1949"/>
        <w:jc w:val="left"/>
        <w:rPr>
          <w:color w:val="000000"/>
          <w:sz w:val="24"/>
        </w:rPr>
      </w:pPr>
      <w:r>
        <w:rPr>
          <w:color w:val="000000"/>
          <w:sz w:val="24"/>
        </w:rPr>
        <w:t>供应商授权代表(签字或盖章)：</w:t>
      </w:r>
    </w:p>
    <w:p>
      <w:pPr>
        <w:widowControl/>
        <w:snapToGrid w:val="0"/>
        <w:spacing w:line="360" w:lineRule="auto"/>
        <w:ind w:firstLine="4677" w:firstLineChars="1949"/>
        <w:jc w:val="left"/>
        <w:rPr>
          <w:color w:val="000000"/>
          <w:sz w:val="24"/>
        </w:rPr>
      </w:pPr>
      <w:r>
        <w:rPr>
          <w:color w:val="000000"/>
          <w:sz w:val="24"/>
        </w:rPr>
        <w:t>日　期：</w:t>
      </w:r>
    </w:p>
    <w:p>
      <w:pPr>
        <w:widowControl/>
        <w:tabs>
          <w:tab w:val="left" w:pos="0"/>
        </w:tabs>
        <w:snapToGrid w:val="0"/>
        <w:spacing w:line="360" w:lineRule="auto"/>
        <w:ind w:firstLine="4108" w:firstLineChars="1712"/>
        <w:jc w:val="left"/>
        <w:rPr>
          <w:color w:val="000000"/>
          <w:kern w:val="0"/>
          <w:sz w:val="24"/>
        </w:rPr>
      </w:pPr>
    </w:p>
    <w:p>
      <w:pPr>
        <w:widowControl/>
        <w:snapToGrid w:val="0"/>
        <w:spacing w:line="360" w:lineRule="auto"/>
        <w:jc w:val="center"/>
        <w:rPr>
          <w:b/>
          <w:color w:val="000000"/>
          <w:kern w:val="0"/>
          <w:sz w:val="28"/>
          <w:szCs w:val="28"/>
        </w:rPr>
      </w:pPr>
      <w:r>
        <w:rPr>
          <w:color w:val="000000"/>
          <w:kern w:val="0"/>
          <w:sz w:val="30"/>
          <w:szCs w:val="30"/>
        </w:rPr>
        <w:br w:type="page"/>
      </w:r>
      <w:r>
        <w:rPr>
          <w:b/>
          <w:color w:val="000000"/>
          <w:kern w:val="0"/>
          <w:sz w:val="28"/>
          <w:szCs w:val="28"/>
        </w:rPr>
        <w:t>报价一览表  （格式）</w:t>
      </w:r>
    </w:p>
    <w:p>
      <w:pPr>
        <w:widowControl/>
        <w:snapToGrid w:val="0"/>
        <w:spacing w:line="360" w:lineRule="auto"/>
        <w:jc w:val="left"/>
        <w:rPr>
          <w:color w:val="000000"/>
          <w:kern w:val="0"/>
          <w:sz w:val="24"/>
        </w:rPr>
      </w:pPr>
      <w:r>
        <w:rPr>
          <w:color w:val="000000"/>
          <w:kern w:val="0"/>
          <w:sz w:val="24"/>
        </w:rPr>
        <w:t>项目名称：</w:t>
      </w:r>
      <w:r>
        <w:rPr>
          <w:color w:val="000000"/>
          <w:kern w:val="0"/>
          <w:sz w:val="24"/>
          <w:u w:val="single"/>
        </w:rPr>
        <w:t xml:space="preserve">                                  </w:t>
      </w:r>
    </w:p>
    <w:p>
      <w:pPr>
        <w:widowControl/>
        <w:snapToGrid w:val="0"/>
        <w:spacing w:line="360" w:lineRule="auto"/>
        <w:jc w:val="left"/>
        <w:rPr>
          <w:color w:val="000000"/>
          <w:kern w:val="0"/>
          <w:sz w:val="24"/>
        </w:rPr>
      </w:pPr>
      <w:r>
        <w:rPr>
          <w:color w:val="000000"/>
          <w:kern w:val="0"/>
          <w:sz w:val="24"/>
        </w:rPr>
        <w:t>项目编号：</w:t>
      </w:r>
      <w:r>
        <w:rPr>
          <w:color w:val="000000"/>
          <w:kern w:val="0"/>
          <w:sz w:val="24"/>
          <w:u w:val="single"/>
        </w:rPr>
        <w:t xml:space="preserve">                                  </w:t>
      </w:r>
    </w:p>
    <w:p>
      <w:pPr>
        <w:widowControl/>
        <w:snapToGrid w:val="0"/>
        <w:spacing w:line="360" w:lineRule="auto"/>
        <w:jc w:val="left"/>
        <w:rPr>
          <w:color w:val="000000"/>
          <w:kern w:val="0"/>
          <w:sz w:val="24"/>
          <w:u w:val="single"/>
        </w:rPr>
      </w:pPr>
      <w:r>
        <w:rPr>
          <w:color w:val="000000"/>
          <w:kern w:val="0"/>
          <w:sz w:val="24"/>
        </w:rPr>
        <w:t>供应商名称：</w:t>
      </w:r>
      <w:r>
        <w:rPr>
          <w:color w:val="000000"/>
          <w:kern w:val="0"/>
          <w:sz w:val="24"/>
          <w:u w:val="single"/>
        </w:rPr>
        <w:t xml:space="preserve">                                </w:t>
      </w:r>
    </w:p>
    <w:p>
      <w:pPr>
        <w:pStyle w:val="37"/>
        <w:ind w:firstLine="560"/>
      </w:pPr>
    </w:p>
    <w:p>
      <w:pPr>
        <w:widowControl/>
        <w:spacing w:line="580" w:lineRule="exact"/>
        <w:jc w:val="right"/>
        <w:rPr>
          <w:bCs/>
          <w:color w:val="000000"/>
          <w:kern w:val="0"/>
          <w:sz w:val="24"/>
        </w:rPr>
      </w:pPr>
      <w:r>
        <w:rPr>
          <w:bCs/>
          <w:color w:val="000000"/>
          <w:kern w:val="0"/>
          <w:sz w:val="24"/>
        </w:rPr>
        <w:t>货币：人民币/元</w:t>
      </w:r>
    </w:p>
    <w:tbl>
      <w:tblPr>
        <w:tblStyle w:val="31"/>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10"/>
        <w:gridCol w:w="1324"/>
        <w:gridCol w:w="1460"/>
        <w:gridCol w:w="1090"/>
        <w:gridCol w:w="126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Align w:val="center"/>
          </w:tcPr>
          <w:p>
            <w:pPr>
              <w:jc w:val="center"/>
              <w:rPr>
                <w:rFonts w:hAnsi="宋体"/>
                <w:bCs/>
                <w:color w:val="000000"/>
                <w:kern w:val="0"/>
                <w:szCs w:val="21"/>
              </w:rPr>
            </w:pPr>
            <w:r>
              <w:rPr>
                <w:rFonts w:hint="eastAsia" w:hAnsi="宋体"/>
                <w:bCs/>
                <w:color w:val="000000"/>
                <w:kern w:val="0"/>
                <w:szCs w:val="21"/>
              </w:rPr>
              <w:t>包号</w:t>
            </w:r>
          </w:p>
        </w:tc>
        <w:tc>
          <w:tcPr>
            <w:tcW w:w="1710" w:type="dxa"/>
            <w:vAlign w:val="center"/>
          </w:tcPr>
          <w:p>
            <w:pPr>
              <w:jc w:val="center"/>
              <w:rPr>
                <w:rFonts w:hAnsi="宋体"/>
                <w:bCs/>
                <w:color w:val="000000"/>
                <w:kern w:val="0"/>
                <w:szCs w:val="21"/>
              </w:rPr>
            </w:pPr>
            <w:r>
              <w:rPr>
                <w:rFonts w:hint="eastAsia" w:hAnsi="宋体"/>
                <w:bCs/>
                <w:color w:val="000000"/>
                <w:kern w:val="0"/>
                <w:szCs w:val="21"/>
              </w:rPr>
              <w:t>内容</w:t>
            </w:r>
          </w:p>
        </w:tc>
        <w:tc>
          <w:tcPr>
            <w:tcW w:w="1324" w:type="dxa"/>
            <w:vAlign w:val="center"/>
          </w:tcPr>
          <w:p>
            <w:pPr>
              <w:jc w:val="center"/>
              <w:rPr>
                <w:rFonts w:hAnsi="宋体"/>
                <w:bCs/>
                <w:color w:val="000000"/>
                <w:kern w:val="0"/>
                <w:szCs w:val="21"/>
              </w:rPr>
            </w:pPr>
            <w:r>
              <w:rPr>
                <w:rFonts w:hint="eastAsia" w:hAnsi="宋体"/>
                <w:bCs/>
                <w:color w:val="000000"/>
                <w:kern w:val="0"/>
                <w:szCs w:val="21"/>
              </w:rPr>
              <w:t>计划抽查批次数</w:t>
            </w:r>
          </w:p>
        </w:tc>
        <w:tc>
          <w:tcPr>
            <w:tcW w:w="1460" w:type="dxa"/>
            <w:vAlign w:val="center"/>
          </w:tcPr>
          <w:p>
            <w:pPr>
              <w:jc w:val="center"/>
              <w:rPr>
                <w:rFonts w:hAnsi="宋体"/>
                <w:bCs/>
                <w:color w:val="000000"/>
                <w:kern w:val="0"/>
                <w:szCs w:val="21"/>
              </w:rPr>
            </w:pPr>
            <w:r>
              <w:rPr>
                <w:rFonts w:hint="eastAsia" w:hAnsi="宋体"/>
                <w:bCs/>
                <w:color w:val="000000"/>
                <w:kern w:val="0"/>
                <w:szCs w:val="21"/>
              </w:rPr>
              <w:t>抽检单价</w:t>
            </w:r>
          </w:p>
          <w:p>
            <w:pPr>
              <w:jc w:val="center"/>
              <w:rPr>
                <w:rFonts w:hAnsi="宋体"/>
                <w:bCs/>
                <w:color w:val="000000"/>
                <w:kern w:val="0"/>
                <w:szCs w:val="21"/>
              </w:rPr>
            </w:pPr>
            <w:r>
              <w:rPr>
                <w:rFonts w:hint="eastAsia" w:hAnsi="宋体"/>
                <w:bCs/>
                <w:color w:val="000000"/>
                <w:kern w:val="0"/>
                <w:szCs w:val="21"/>
              </w:rPr>
              <w:t>（元/批次）</w:t>
            </w:r>
          </w:p>
        </w:tc>
        <w:tc>
          <w:tcPr>
            <w:tcW w:w="1090" w:type="dxa"/>
            <w:vAlign w:val="center"/>
          </w:tcPr>
          <w:p>
            <w:pPr>
              <w:jc w:val="center"/>
              <w:rPr>
                <w:rFonts w:hAnsi="宋体"/>
                <w:bCs/>
                <w:color w:val="000000"/>
                <w:kern w:val="0"/>
                <w:szCs w:val="21"/>
              </w:rPr>
            </w:pPr>
            <w:r>
              <w:rPr>
                <w:rFonts w:hint="eastAsia" w:hAnsi="宋体"/>
                <w:bCs/>
                <w:color w:val="000000"/>
                <w:kern w:val="0"/>
                <w:szCs w:val="21"/>
              </w:rPr>
              <w:t>合价</w:t>
            </w:r>
          </w:p>
        </w:tc>
        <w:tc>
          <w:tcPr>
            <w:tcW w:w="1260" w:type="dxa"/>
            <w:vAlign w:val="center"/>
          </w:tcPr>
          <w:p>
            <w:pPr>
              <w:jc w:val="center"/>
              <w:rPr>
                <w:rFonts w:hAnsi="宋体"/>
                <w:bCs/>
                <w:color w:val="000000"/>
                <w:kern w:val="0"/>
                <w:szCs w:val="21"/>
              </w:rPr>
            </w:pPr>
            <w:r>
              <w:rPr>
                <w:rFonts w:hint="eastAsia" w:ascii="宋体" w:hAnsi="宋体" w:cs="宋体"/>
                <w:szCs w:val="21"/>
              </w:rPr>
              <w:t>合同履行期限</w:t>
            </w:r>
          </w:p>
        </w:tc>
        <w:tc>
          <w:tcPr>
            <w:tcW w:w="1257" w:type="dxa"/>
            <w:vAlign w:val="center"/>
          </w:tcPr>
          <w:p>
            <w:pPr>
              <w:jc w:val="center"/>
              <w:rPr>
                <w:rFonts w:hAnsi="宋体"/>
                <w:bCs/>
                <w:color w:val="000000"/>
                <w:kern w:val="0"/>
                <w:szCs w:val="21"/>
              </w:rPr>
            </w:pPr>
            <w:r>
              <w:rPr>
                <w:rFonts w:hint="eastAsia" w:hAnsi="宋体"/>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Align w:val="center"/>
          </w:tcPr>
          <w:p>
            <w:pPr>
              <w:snapToGrid w:val="0"/>
              <w:spacing w:line="400" w:lineRule="exact"/>
              <w:jc w:val="center"/>
              <w:rPr>
                <w:rFonts w:ascii="宋体" w:hAnsi="宋体" w:cs="宋体"/>
                <w:szCs w:val="21"/>
              </w:rPr>
            </w:pPr>
          </w:p>
        </w:tc>
        <w:tc>
          <w:tcPr>
            <w:tcW w:w="1710" w:type="dxa"/>
            <w:vAlign w:val="center"/>
          </w:tcPr>
          <w:p>
            <w:pPr>
              <w:spacing w:line="300" w:lineRule="exact"/>
              <w:jc w:val="center"/>
              <w:rPr>
                <w:rFonts w:ascii="宋体" w:hAnsi="宋体" w:cs="宋体"/>
                <w:szCs w:val="21"/>
              </w:rPr>
            </w:pPr>
          </w:p>
        </w:tc>
        <w:tc>
          <w:tcPr>
            <w:tcW w:w="1324" w:type="dxa"/>
            <w:vAlign w:val="center"/>
          </w:tcPr>
          <w:p>
            <w:pPr>
              <w:snapToGrid w:val="0"/>
              <w:spacing w:line="400" w:lineRule="exact"/>
              <w:jc w:val="center"/>
              <w:rPr>
                <w:rFonts w:ascii="宋体" w:hAnsi="宋体" w:cs="宋体"/>
                <w:szCs w:val="21"/>
              </w:rPr>
            </w:pPr>
          </w:p>
        </w:tc>
        <w:tc>
          <w:tcPr>
            <w:tcW w:w="1460" w:type="dxa"/>
            <w:vAlign w:val="center"/>
          </w:tcPr>
          <w:p>
            <w:pPr>
              <w:snapToGrid w:val="0"/>
              <w:spacing w:line="400" w:lineRule="exact"/>
              <w:jc w:val="center"/>
              <w:rPr>
                <w:rFonts w:ascii="宋体" w:hAnsi="宋体" w:cs="宋体"/>
                <w:szCs w:val="21"/>
              </w:rPr>
            </w:pPr>
          </w:p>
        </w:tc>
        <w:tc>
          <w:tcPr>
            <w:tcW w:w="1090" w:type="dxa"/>
            <w:vAlign w:val="center"/>
          </w:tcPr>
          <w:p>
            <w:pPr>
              <w:snapToGrid w:val="0"/>
              <w:spacing w:line="400" w:lineRule="exact"/>
              <w:jc w:val="center"/>
              <w:rPr>
                <w:rFonts w:ascii="宋体" w:hAnsi="宋体" w:cs="宋体"/>
                <w:szCs w:val="21"/>
              </w:rPr>
            </w:pPr>
          </w:p>
        </w:tc>
        <w:tc>
          <w:tcPr>
            <w:tcW w:w="1260" w:type="dxa"/>
            <w:vMerge w:val="restart"/>
            <w:vAlign w:val="center"/>
          </w:tcPr>
          <w:p>
            <w:pPr>
              <w:snapToGrid w:val="0"/>
              <w:spacing w:line="400" w:lineRule="exact"/>
              <w:jc w:val="center"/>
              <w:rPr>
                <w:rFonts w:ascii="宋体" w:hAnsi="宋体" w:cs="宋体"/>
                <w:szCs w:val="21"/>
              </w:rPr>
            </w:pPr>
          </w:p>
        </w:tc>
        <w:tc>
          <w:tcPr>
            <w:tcW w:w="1257" w:type="dxa"/>
            <w:vMerge w:val="restart"/>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Align w:val="center"/>
          </w:tcPr>
          <w:p>
            <w:pPr>
              <w:snapToGrid w:val="0"/>
              <w:spacing w:line="400" w:lineRule="exact"/>
              <w:jc w:val="center"/>
              <w:rPr>
                <w:rFonts w:ascii="宋体" w:hAnsi="宋体" w:cs="宋体"/>
                <w:szCs w:val="21"/>
              </w:rPr>
            </w:pPr>
          </w:p>
        </w:tc>
        <w:tc>
          <w:tcPr>
            <w:tcW w:w="1710" w:type="dxa"/>
            <w:vAlign w:val="center"/>
          </w:tcPr>
          <w:p>
            <w:pPr>
              <w:spacing w:line="300" w:lineRule="exact"/>
              <w:jc w:val="center"/>
              <w:rPr>
                <w:rFonts w:ascii="宋体" w:hAnsi="宋体" w:cs="宋体"/>
                <w:szCs w:val="21"/>
              </w:rPr>
            </w:pPr>
          </w:p>
        </w:tc>
        <w:tc>
          <w:tcPr>
            <w:tcW w:w="1324" w:type="dxa"/>
            <w:vAlign w:val="center"/>
          </w:tcPr>
          <w:p>
            <w:pPr>
              <w:snapToGrid w:val="0"/>
              <w:spacing w:line="400" w:lineRule="exact"/>
              <w:jc w:val="center"/>
              <w:rPr>
                <w:rFonts w:ascii="宋体" w:hAnsi="宋体" w:cs="宋体"/>
                <w:szCs w:val="21"/>
              </w:rPr>
            </w:pPr>
          </w:p>
        </w:tc>
        <w:tc>
          <w:tcPr>
            <w:tcW w:w="1460" w:type="dxa"/>
            <w:vAlign w:val="center"/>
          </w:tcPr>
          <w:p>
            <w:pPr>
              <w:snapToGrid w:val="0"/>
              <w:spacing w:line="400" w:lineRule="exact"/>
              <w:jc w:val="center"/>
              <w:rPr>
                <w:rFonts w:ascii="宋体" w:hAnsi="宋体" w:cs="宋体"/>
                <w:szCs w:val="21"/>
              </w:rPr>
            </w:pPr>
          </w:p>
        </w:tc>
        <w:tc>
          <w:tcPr>
            <w:tcW w:w="1090" w:type="dxa"/>
            <w:vAlign w:val="center"/>
          </w:tcPr>
          <w:p>
            <w:pPr>
              <w:snapToGrid w:val="0"/>
              <w:spacing w:line="400" w:lineRule="exact"/>
              <w:jc w:val="center"/>
              <w:rPr>
                <w:rFonts w:ascii="宋体" w:hAnsi="宋体" w:cs="宋体"/>
                <w:szCs w:val="21"/>
              </w:rPr>
            </w:pPr>
          </w:p>
        </w:tc>
        <w:tc>
          <w:tcPr>
            <w:tcW w:w="1260" w:type="dxa"/>
            <w:vMerge w:val="continue"/>
            <w:vAlign w:val="center"/>
          </w:tcPr>
          <w:p>
            <w:pPr>
              <w:snapToGrid w:val="0"/>
              <w:spacing w:line="400" w:lineRule="exact"/>
              <w:jc w:val="center"/>
              <w:rPr>
                <w:rFonts w:ascii="宋体" w:hAnsi="宋体" w:cs="宋体"/>
                <w:szCs w:val="21"/>
              </w:rPr>
            </w:pPr>
          </w:p>
        </w:tc>
        <w:tc>
          <w:tcPr>
            <w:tcW w:w="1257" w:type="dxa"/>
            <w:vMerge w:val="continue"/>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Align w:val="center"/>
          </w:tcPr>
          <w:p>
            <w:pPr>
              <w:snapToGrid w:val="0"/>
              <w:spacing w:line="400" w:lineRule="exact"/>
              <w:jc w:val="center"/>
              <w:rPr>
                <w:rFonts w:ascii="宋体" w:hAnsi="宋体" w:cs="宋体"/>
                <w:szCs w:val="21"/>
              </w:rPr>
            </w:pPr>
          </w:p>
        </w:tc>
        <w:tc>
          <w:tcPr>
            <w:tcW w:w="1710" w:type="dxa"/>
            <w:vAlign w:val="center"/>
          </w:tcPr>
          <w:p>
            <w:pPr>
              <w:spacing w:line="300" w:lineRule="exact"/>
              <w:jc w:val="center"/>
              <w:rPr>
                <w:rFonts w:ascii="宋体" w:hAnsi="宋体" w:cs="宋体"/>
                <w:szCs w:val="21"/>
              </w:rPr>
            </w:pPr>
          </w:p>
        </w:tc>
        <w:tc>
          <w:tcPr>
            <w:tcW w:w="1324" w:type="dxa"/>
            <w:vAlign w:val="center"/>
          </w:tcPr>
          <w:p>
            <w:pPr>
              <w:snapToGrid w:val="0"/>
              <w:spacing w:line="400" w:lineRule="exact"/>
              <w:jc w:val="center"/>
              <w:rPr>
                <w:rFonts w:ascii="宋体" w:hAnsi="宋体" w:cs="宋体"/>
                <w:szCs w:val="21"/>
              </w:rPr>
            </w:pPr>
          </w:p>
        </w:tc>
        <w:tc>
          <w:tcPr>
            <w:tcW w:w="1460" w:type="dxa"/>
            <w:vAlign w:val="center"/>
          </w:tcPr>
          <w:p>
            <w:pPr>
              <w:snapToGrid w:val="0"/>
              <w:spacing w:line="400" w:lineRule="exact"/>
              <w:jc w:val="center"/>
              <w:rPr>
                <w:rFonts w:ascii="宋体" w:hAnsi="宋体" w:cs="宋体"/>
                <w:szCs w:val="21"/>
              </w:rPr>
            </w:pPr>
          </w:p>
        </w:tc>
        <w:tc>
          <w:tcPr>
            <w:tcW w:w="1090" w:type="dxa"/>
            <w:vAlign w:val="center"/>
          </w:tcPr>
          <w:p>
            <w:pPr>
              <w:snapToGrid w:val="0"/>
              <w:spacing w:line="400" w:lineRule="exact"/>
              <w:jc w:val="center"/>
              <w:rPr>
                <w:rFonts w:ascii="宋体" w:hAnsi="宋体" w:cs="宋体"/>
                <w:szCs w:val="21"/>
              </w:rPr>
            </w:pPr>
          </w:p>
        </w:tc>
        <w:tc>
          <w:tcPr>
            <w:tcW w:w="1260" w:type="dxa"/>
            <w:vMerge w:val="continue"/>
            <w:vAlign w:val="center"/>
          </w:tcPr>
          <w:p>
            <w:pPr>
              <w:snapToGrid w:val="0"/>
              <w:spacing w:line="400" w:lineRule="exact"/>
              <w:jc w:val="center"/>
              <w:rPr>
                <w:rFonts w:ascii="宋体" w:hAnsi="宋体" w:cs="宋体"/>
                <w:szCs w:val="21"/>
              </w:rPr>
            </w:pPr>
          </w:p>
        </w:tc>
        <w:tc>
          <w:tcPr>
            <w:tcW w:w="1257" w:type="dxa"/>
            <w:vMerge w:val="continue"/>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1" w:type="dxa"/>
            <w:gridSpan w:val="7"/>
            <w:vAlign w:val="center"/>
          </w:tcPr>
          <w:p>
            <w:pPr>
              <w:snapToGrid w:val="0"/>
              <w:spacing w:line="400" w:lineRule="exact"/>
              <w:rPr>
                <w:rFonts w:ascii="宋体" w:hAnsi="宋体" w:cs="宋体"/>
                <w:szCs w:val="21"/>
              </w:rPr>
            </w:pPr>
            <w:r>
              <w:rPr>
                <w:rFonts w:hint="eastAsia" w:ascii="宋体" w:hAnsi="宋体" w:cs="宋体"/>
                <w:szCs w:val="21"/>
              </w:rPr>
              <w:t>总报价（含税价）(大写)：                                ￥：（小写）</w:t>
            </w:r>
          </w:p>
        </w:tc>
      </w:tr>
    </w:tbl>
    <w:p>
      <w:pPr>
        <w:widowControl/>
        <w:spacing w:line="580" w:lineRule="exact"/>
        <w:jc w:val="right"/>
        <w:rPr>
          <w:bCs/>
          <w:color w:val="000000"/>
          <w:kern w:val="0"/>
          <w:sz w:val="24"/>
        </w:rPr>
      </w:pPr>
    </w:p>
    <w:p>
      <w:pPr>
        <w:widowControl/>
        <w:tabs>
          <w:tab w:val="left" w:pos="0"/>
        </w:tabs>
        <w:snapToGrid w:val="0"/>
        <w:spacing w:line="360" w:lineRule="auto"/>
        <w:ind w:firstLine="4108" w:firstLineChars="1712"/>
        <w:jc w:val="left"/>
        <w:rPr>
          <w:color w:val="000000"/>
          <w:kern w:val="0"/>
          <w:sz w:val="24"/>
        </w:rPr>
      </w:pPr>
    </w:p>
    <w:p>
      <w:pPr>
        <w:widowControl/>
        <w:tabs>
          <w:tab w:val="left" w:pos="0"/>
        </w:tabs>
        <w:snapToGrid w:val="0"/>
        <w:spacing w:line="360" w:lineRule="auto"/>
        <w:ind w:firstLine="4108" w:firstLineChars="1712"/>
        <w:jc w:val="left"/>
        <w:rPr>
          <w:color w:val="000000"/>
          <w:kern w:val="0"/>
          <w:sz w:val="24"/>
        </w:rPr>
      </w:pPr>
      <w:r>
        <w:rPr>
          <w:color w:val="000000"/>
          <w:kern w:val="0"/>
          <w:sz w:val="24"/>
        </w:rPr>
        <w:t>供应商（公章）：</w:t>
      </w:r>
    </w:p>
    <w:p>
      <w:pPr>
        <w:widowControl/>
        <w:tabs>
          <w:tab w:val="left" w:pos="0"/>
        </w:tabs>
        <w:snapToGrid w:val="0"/>
        <w:spacing w:line="360" w:lineRule="auto"/>
        <w:ind w:firstLine="4108" w:firstLineChars="1712"/>
        <w:jc w:val="left"/>
        <w:rPr>
          <w:color w:val="000000"/>
          <w:kern w:val="0"/>
          <w:sz w:val="24"/>
        </w:rPr>
      </w:pPr>
      <w:r>
        <w:rPr>
          <w:color w:val="000000"/>
          <w:kern w:val="0"/>
          <w:sz w:val="24"/>
        </w:rPr>
        <w:t>供应商授权代表（签字或盖章）：</w:t>
      </w:r>
    </w:p>
    <w:p>
      <w:pPr>
        <w:widowControl/>
        <w:tabs>
          <w:tab w:val="left" w:pos="0"/>
        </w:tabs>
        <w:snapToGrid w:val="0"/>
        <w:spacing w:line="360" w:lineRule="auto"/>
        <w:ind w:firstLine="4108" w:firstLineChars="1712"/>
        <w:jc w:val="left"/>
        <w:rPr>
          <w:color w:val="000000"/>
          <w:kern w:val="0"/>
          <w:sz w:val="24"/>
        </w:rPr>
      </w:pPr>
      <w:r>
        <w:rPr>
          <w:color w:val="000000"/>
          <w:kern w:val="0"/>
          <w:sz w:val="24"/>
        </w:rPr>
        <w:t>日    期：</w:t>
      </w:r>
    </w:p>
    <w:p>
      <w:pPr>
        <w:ind w:firstLine="4108" w:firstLineChars="1712"/>
        <w:rPr>
          <w:color w:val="000000"/>
        </w:rPr>
      </w:pPr>
      <w:r>
        <w:rPr>
          <w:color w:val="000000"/>
          <w:kern w:val="0"/>
          <w:sz w:val="24"/>
        </w:rPr>
        <w:br w:type="page"/>
      </w:r>
    </w:p>
    <w:p>
      <w:pPr>
        <w:widowControl/>
        <w:snapToGrid w:val="0"/>
        <w:spacing w:line="360" w:lineRule="auto"/>
        <w:jc w:val="center"/>
        <w:rPr>
          <w:b/>
          <w:color w:val="000000"/>
          <w:kern w:val="0"/>
          <w:sz w:val="28"/>
          <w:szCs w:val="28"/>
        </w:rPr>
      </w:pPr>
    </w:p>
    <w:p>
      <w:pPr>
        <w:widowControl/>
        <w:snapToGrid w:val="0"/>
        <w:spacing w:line="360" w:lineRule="auto"/>
        <w:jc w:val="center"/>
        <w:rPr>
          <w:b/>
          <w:color w:val="000000"/>
          <w:kern w:val="0"/>
          <w:sz w:val="28"/>
          <w:szCs w:val="28"/>
        </w:rPr>
      </w:pPr>
      <w:r>
        <w:rPr>
          <w:b/>
          <w:color w:val="000000"/>
          <w:kern w:val="0"/>
          <w:sz w:val="28"/>
          <w:szCs w:val="28"/>
        </w:rPr>
        <w:t>保证金退还登记表</w:t>
      </w:r>
    </w:p>
    <w:p>
      <w:pPr>
        <w:widowControl/>
        <w:snapToGrid w:val="0"/>
        <w:spacing w:line="360" w:lineRule="auto"/>
        <w:jc w:val="center"/>
        <w:rPr>
          <w:color w:val="000000"/>
          <w:sz w:val="24"/>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93" w:type="dxa"/>
            <w:vAlign w:val="center"/>
          </w:tcPr>
          <w:p>
            <w:pPr>
              <w:jc w:val="center"/>
              <w:rPr>
                <w:color w:val="000000"/>
                <w:sz w:val="24"/>
              </w:rPr>
            </w:pPr>
            <w:r>
              <w:rPr>
                <w:color w:val="000000"/>
                <w:sz w:val="24"/>
              </w:rPr>
              <w:t>项目名称</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93" w:type="dxa"/>
            <w:vAlign w:val="center"/>
          </w:tcPr>
          <w:p>
            <w:pPr>
              <w:jc w:val="center"/>
              <w:rPr>
                <w:color w:val="000000"/>
                <w:sz w:val="24"/>
              </w:rPr>
            </w:pPr>
            <w:r>
              <w:rPr>
                <w:color w:val="000000"/>
                <w:sz w:val="24"/>
              </w:rPr>
              <w:t>项目编号</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93" w:type="dxa"/>
            <w:vAlign w:val="center"/>
          </w:tcPr>
          <w:p>
            <w:pPr>
              <w:jc w:val="center"/>
              <w:rPr>
                <w:color w:val="000000"/>
                <w:sz w:val="24"/>
              </w:rPr>
            </w:pPr>
            <w:r>
              <w:rPr>
                <w:color w:val="000000"/>
                <w:sz w:val="24"/>
              </w:rPr>
              <w:t>供应商名称</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93" w:type="dxa"/>
            <w:vAlign w:val="center"/>
          </w:tcPr>
          <w:p>
            <w:pPr>
              <w:jc w:val="center"/>
              <w:rPr>
                <w:color w:val="000000"/>
                <w:sz w:val="24"/>
              </w:rPr>
            </w:pPr>
            <w:r>
              <w:rPr>
                <w:color w:val="000000"/>
                <w:sz w:val="24"/>
              </w:rPr>
              <w:t>供应商详细地址</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93" w:type="dxa"/>
            <w:vAlign w:val="center"/>
          </w:tcPr>
          <w:p>
            <w:pPr>
              <w:jc w:val="center"/>
              <w:rPr>
                <w:color w:val="000000"/>
                <w:sz w:val="24"/>
              </w:rPr>
            </w:pPr>
            <w:r>
              <w:rPr>
                <w:color w:val="000000"/>
                <w:sz w:val="24"/>
              </w:rPr>
              <w:t>联系人</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93" w:type="dxa"/>
            <w:vAlign w:val="center"/>
          </w:tcPr>
          <w:p>
            <w:pPr>
              <w:jc w:val="center"/>
              <w:rPr>
                <w:color w:val="000000"/>
                <w:sz w:val="24"/>
              </w:rPr>
            </w:pPr>
            <w:r>
              <w:rPr>
                <w:color w:val="000000"/>
                <w:sz w:val="24"/>
              </w:rPr>
              <w:t>联系电话</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93" w:type="dxa"/>
            <w:vAlign w:val="center"/>
          </w:tcPr>
          <w:p>
            <w:pPr>
              <w:jc w:val="center"/>
              <w:rPr>
                <w:color w:val="000000"/>
                <w:sz w:val="24"/>
              </w:rPr>
            </w:pPr>
            <w:r>
              <w:rPr>
                <w:color w:val="000000"/>
                <w:sz w:val="24"/>
              </w:rPr>
              <w:t>发票邮寄地址</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93" w:type="dxa"/>
            <w:vAlign w:val="center"/>
          </w:tcPr>
          <w:p>
            <w:pPr>
              <w:jc w:val="center"/>
              <w:rPr>
                <w:color w:val="000000"/>
                <w:sz w:val="24"/>
              </w:rPr>
            </w:pPr>
            <w:r>
              <w:rPr>
                <w:color w:val="000000"/>
                <w:sz w:val="24"/>
              </w:rPr>
              <w:t>保证金金额</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93" w:type="dxa"/>
            <w:vAlign w:val="center"/>
          </w:tcPr>
          <w:p>
            <w:pPr>
              <w:jc w:val="center"/>
              <w:rPr>
                <w:color w:val="000000"/>
                <w:sz w:val="24"/>
              </w:rPr>
            </w:pPr>
            <w:r>
              <w:rPr>
                <w:color w:val="000000"/>
                <w:sz w:val="24"/>
              </w:rPr>
              <w:t>开户行行号</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93" w:type="dxa"/>
            <w:vAlign w:val="center"/>
          </w:tcPr>
          <w:p>
            <w:pPr>
              <w:jc w:val="center"/>
              <w:rPr>
                <w:color w:val="000000"/>
                <w:sz w:val="24"/>
              </w:rPr>
            </w:pPr>
            <w:r>
              <w:rPr>
                <w:color w:val="000000"/>
                <w:sz w:val="24"/>
              </w:rPr>
              <w:t>开户行名称</w:t>
            </w:r>
          </w:p>
        </w:tc>
        <w:tc>
          <w:tcPr>
            <w:tcW w:w="6077"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93" w:type="dxa"/>
            <w:vAlign w:val="center"/>
          </w:tcPr>
          <w:p>
            <w:pPr>
              <w:jc w:val="center"/>
              <w:rPr>
                <w:color w:val="000000"/>
                <w:sz w:val="24"/>
              </w:rPr>
            </w:pPr>
            <w:r>
              <w:rPr>
                <w:color w:val="000000"/>
                <w:sz w:val="24"/>
              </w:rPr>
              <w:t>银行账号</w:t>
            </w:r>
          </w:p>
        </w:tc>
        <w:tc>
          <w:tcPr>
            <w:tcW w:w="6077" w:type="dxa"/>
            <w:vAlign w:val="center"/>
          </w:tcPr>
          <w:p>
            <w:pPr>
              <w:jc w:val="center"/>
              <w:rPr>
                <w:color w:val="000000"/>
                <w:sz w:val="28"/>
                <w:szCs w:val="28"/>
              </w:rPr>
            </w:pPr>
          </w:p>
        </w:tc>
      </w:tr>
    </w:tbl>
    <w:p>
      <w:pPr>
        <w:jc w:val="center"/>
        <w:rPr>
          <w:b/>
          <w:color w:val="000000"/>
          <w:sz w:val="32"/>
          <w:szCs w:val="32"/>
        </w:rPr>
      </w:pPr>
    </w:p>
    <w:p>
      <w:pPr>
        <w:widowControl/>
        <w:jc w:val="left"/>
        <w:rPr>
          <w:color w:val="000000"/>
          <w:kern w:val="0"/>
          <w:sz w:val="24"/>
        </w:rPr>
      </w:pPr>
      <w:r>
        <w:rPr>
          <w:b/>
          <w:color w:val="000000"/>
          <w:kern w:val="0"/>
          <w:sz w:val="24"/>
        </w:rPr>
        <w:br w:type="page"/>
      </w:r>
    </w:p>
    <w:p>
      <w:pPr>
        <w:widowControl/>
        <w:snapToGrid w:val="0"/>
        <w:spacing w:line="360" w:lineRule="auto"/>
        <w:jc w:val="center"/>
        <w:rPr>
          <w:b/>
          <w:color w:val="000000"/>
          <w:sz w:val="24"/>
        </w:rPr>
      </w:pPr>
      <w:r>
        <w:rPr>
          <w:b/>
          <w:color w:val="000000"/>
          <w:sz w:val="24"/>
        </w:rPr>
        <w:t>中小企业声明函（服务）</w:t>
      </w:r>
    </w:p>
    <w:p>
      <w:pPr>
        <w:widowControl/>
        <w:snapToGrid w:val="0"/>
        <w:spacing w:line="360" w:lineRule="auto"/>
        <w:jc w:val="left"/>
        <w:rPr>
          <w:color w:val="000000"/>
          <w:kern w:val="0"/>
          <w:szCs w:val="21"/>
        </w:rPr>
      </w:pPr>
    </w:p>
    <w:p>
      <w:pPr>
        <w:widowControl/>
        <w:snapToGrid w:val="0"/>
        <w:spacing w:line="360" w:lineRule="auto"/>
        <w:ind w:firstLine="420" w:firstLineChars="200"/>
        <w:jc w:val="left"/>
        <w:rPr>
          <w:szCs w:val="21"/>
        </w:rPr>
      </w:pPr>
      <w:r>
        <w:rPr>
          <w:color w:val="000000"/>
          <w:kern w:val="0"/>
          <w:szCs w:val="21"/>
        </w:rPr>
        <w:t>本公司（联合体）郑重声明，根据《政府采购促进中小企业发展管理办法》（财库﹝2020﹞46 号）的规定，本公司</w:t>
      </w:r>
      <w:r>
        <w:rPr>
          <w:color w:val="000000"/>
          <w:kern w:val="0"/>
          <w:szCs w:val="21"/>
          <w:u w:val="single"/>
        </w:rPr>
        <w:t xml:space="preserve">   （联合体）</w:t>
      </w:r>
      <w:r>
        <w:rPr>
          <w:color w:val="000000"/>
          <w:kern w:val="0"/>
          <w:szCs w:val="21"/>
        </w:rPr>
        <w:t>参加</w:t>
      </w:r>
      <w:r>
        <w:rPr>
          <w:i/>
          <w:iCs/>
          <w:color w:val="000000"/>
          <w:kern w:val="0"/>
          <w:szCs w:val="21"/>
          <w:u w:val="single"/>
        </w:rPr>
        <w:t>（单位名称）</w:t>
      </w:r>
      <w:r>
        <w:rPr>
          <w:color w:val="000000"/>
          <w:kern w:val="0"/>
          <w:szCs w:val="21"/>
        </w:rPr>
        <w:t>的</w:t>
      </w:r>
      <w:r>
        <w:rPr>
          <w:i/>
          <w:iCs/>
          <w:color w:val="000000"/>
          <w:kern w:val="0"/>
          <w:szCs w:val="21"/>
          <w:u w:val="single"/>
        </w:rPr>
        <w:t xml:space="preserve">（项目名称）   </w:t>
      </w:r>
      <w:r>
        <w:rPr>
          <w:color w:val="000000"/>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napToGrid w:val="0"/>
        <w:spacing w:line="360" w:lineRule="auto"/>
        <w:ind w:firstLine="420" w:firstLineChars="200"/>
        <w:jc w:val="left"/>
        <w:rPr>
          <w:szCs w:val="21"/>
        </w:rPr>
      </w:pPr>
      <w:r>
        <w:rPr>
          <w:color w:val="000000"/>
          <w:kern w:val="0"/>
          <w:szCs w:val="21"/>
        </w:rPr>
        <w:t>1.</w:t>
      </w:r>
      <w:r>
        <w:rPr>
          <w:i/>
          <w:iCs/>
          <w:color w:val="000000"/>
          <w:kern w:val="0"/>
          <w:szCs w:val="21"/>
          <w:u w:val="single"/>
        </w:rPr>
        <w:t xml:space="preserve">（标的名称） </w:t>
      </w:r>
      <w:r>
        <w:rPr>
          <w:color w:val="000000"/>
          <w:kern w:val="0"/>
          <w:szCs w:val="21"/>
        </w:rPr>
        <w:t>，属于</w:t>
      </w:r>
      <w:r>
        <w:rPr>
          <w:b w:val="0"/>
          <w:bCs w:val="0"/>
          <w:color w:val="000000"/>
          <w:kern w:val="0"/>
          <w:szCs w:val="21"/>
          <w:u w:val="single"/>
        </w:rPr>
        <w:t xml:space="preserve">       </w:t>
      </w:r>
      <w:r>
        <w:rPr>
          <w:color w:val="000000"/>
          <w:kern w:val="0"/>
          <w:szCs w:val="21"/>
        </w:rPr>
        <w:t>；承建（承接）企业为</w:t>
      </w:r>
      <w:r>
        <w:rPr>
          <w:i/>
          <w:iCs/>
          <w:color w:val="000000"/>
          <w:kern w:val="0"/>
          <w:szCs w:val="21"/>
          <w:u w:val="single"/>
        </w:rPr>
        <w:t xml:space="preserve">（企业名称）   </w:t>
      </w:r>
      <w:r>
        <w:rPr>
          <w:color w:val="000000"/>
          <w:kern w:val="0"/>
          <w:szCs w:val="21"/>
        </w:rPr>
        <w:t>，从业人员人，营业收入为万元，资产总额为万元，属于</w:t>
      </w:r>
      <w:r>
        <w:rPr>
          <w:i/>
          <w:iCs/>
          <w:color w:val="000000"/>
          <w:kern w:val="0"/>
          <w:szCs w:val="21"/>
        </w:rPr>
        <w:t>（中型企业、小型企业、微型企业）</w:t>
      </w:r>
      <w:r>
        <w:rPr>
          <w:color w:val="000000"/>
          <w:kern w:val="0"/>
          <w:szCs w:val="21"/>
        </w:rPr>
        <w:t xml:space="preserve">； </w:t>
      </w:r>
    </w:p>
    <w:p>
      <w:pPr>
        <w:widowControl/>
        <w:snapToGrid w:val="0"/>
        <w:spacing w:line="360" w:lineRule="auto"/>
        <w:ind w:firstLine="420" w:firstLineChars="200"/>
        <w:jc w:val="left"/>
        <w:rPr>
          <w:szCs w:val="21"/>
        </w:rPr>
      </w:pPr>
      <w:r>
        <w:rPr>
          <w:color w:val="000000"/>
          <w:kern w:val="0"/>
          <w:szCs w:val="21"/>
        </w:rPr>
        <w:t>2.</w:t>
      </w:r>
      <w:r>
        <w:rPr>
          <w:i/>
          <w:iCs/>
          <w:color w:val="000000"/>
          <w:kern w:val="0"/>
          <w:szCs w:val="21"/>
          <w:u w:val="single"/>
        </w:rPr>
        <w:t xml:space="preserve">（标的名称） </w:t>
      </w:r>
      <w:r>
        <w:rPr>
          <w:color w:val="000000"/>
          <w:kern w:val="0"/>
          <w:szCs w:val="21"/>
        </w:rPr>
        <w:t>，属于</w:t>
      </w:r>
      <w:r>
        <w:rPr>
          <w:color w:val="000000"/>
          <w:kern w:val="0"/>
          <w:szCs w:val="21"/>
          <w:u w:val="single"/>
        </w:rPr>
        <w:t xml:space="preserve">        </w:t>
      </w:r>
      <w:r>
        <w:rPr>
          <w:color w:val="000000"/>
          <w:kern w:val="0"/>
          <w:szCs w:val="21"/>
        </w:rPr>
        <w:t>；承建（承接）企业为</w:t>
      </w:r>
      <w:r>
        <w:rPr>
          <w:i/>
          <w:iCs/>
          <w:color w:val="000000"/>
          <w:kern w:val="0"/>
          <w:szCs w:val="21"/>
          <w:u w:val="single"/>
        </w:rPr>
        <w:t xml:space="preserve">（企业名称）     </w:t>
      </w:r>
      <w:r>
        <w:rPr>
          <w:color w:val="000000"/>
          <w:kern w:val="0"/>
          <w:szCs w:val="21"/>
        </w:rPr>
        <w:t>，从业人员人，营业收入为万元，资产总额为万元，属于</w:t>
      </w:r>
      <w:r>
        <w:rPr>
          <w:i/>
          <w:iCs/>
          <w:color w:val="000000"/>
          <w:kern w:val="0"/>
          <w:szCs w:val="21"/>
        </w:rPr>
        <w:t>（中型企业、小型企业、微型企业）</w:t>
      </w:r>
      <w:r>
        <w:rPr>
          <w:color w:val="000000"/>
          <w:kern w:val="0"/>
          <w:szCs w:val="21"/>
        </w:rPr>
        <w:t>；</w:t>
      </w:r>
    </w:p>
    <w:p>
      <w:pPr>
        <w:widowControl/>
        <w:snapToGrid w:val="0"/>
        <w:spacing w:line="360" w:lineRule="auto"/>
        <w:jc w:val="left"/>
        <w:rPr>
          <w:szCs w:val="21"/>
        </w:rPr>
      </w:pPr>
      <w:r>
        <w:rPr>
          <w:color w:val="000000"/>
          <w:kern w:val="0"/>
          <w:szCs w:val="21"/>
        </w:rPr>
        <w:t>……</w:t>
      </w:r>
    </w:p>
    <w:p>
      <w:pPr>
        <w:widowControl/>
        <w:snapToGrid w:val="0"/>
        <w:spacing w:line="360" w:lineRule="auto"/>
        <w:ind w:firstLine="420" w:firstLineChars="200"/>
        <w:jc w:val="left"/>
        <w:rPr>
          <w:szCs w:val="21"/>
        </w:rPr>
      </w:pPr>
      <w:r>
        <w:rPr>
          <w:color w:val="000000"/>
          <w:kern w:val="0"/>
          <w:szCs w:val="21"/>
        </w:rPr>
        <w:t>以上企业，不属于大企业的分支机构，不存在控股股东为大企业的情形，也不存在与大企业的负责人为同一人的情形。</w:t>
      </w:r>
    </w:p>
    <w:p>
      <w:pPr>
        <w:widowControl/>
        <w:snapToGrid w:val="0"/>
        <w:spacing w:line="360" w:lineRule="auto"/>
        <w:ind w:firstLine="420" w:firstLineChars="200"/>
        <w:jc w:val="left"/>
        <w:rPr>
          <w:color w:val="000000"/>
          <w:kern w:val="0"/>
          <w:szCs w:val="21"/>
        </w:rPr>
      </w:pPr>
      <w:r>
        <w:rPr>
          <w:color w:val="000000"/>
          <w:kern w:val="0"/>
          <w:szCs w:val="21"/>
        </w:rPr>
        <w:t>本企业对上述声明内容的真实性负责。如有虚假，将依法承担相应责任。</w:t>
      </w:r>
    </w:p>
    <w:p>
      <w:pPr>
        <w:widowControl/>
        <w:snapToGrid w:val="0"/>
        <w:spacing w:line="360" w:lineRule="auto"/>
        <w:ind w:firstLine="420" w:firstLineChars="200"/>
        <w:jc w:val="left"/>
        <w:rPr>
          <w:color w:val="000000"/>
          <w:kern w:val="0"/>
          <w:szCs w:val="21"/>
        </w:rPr>
      </w:pPr>
    </w:p>
    <w:p>
      <w:pPr>
        <w:widowControl/>
        <w:snapToGrid w:val="0"/>
        <w:spacing w:line="360" w:lineRule="auto"/>
        <w:ind w:firstLine="420" w:firstLineChars="200"/>
        <w:jc w:val="left"/>
        <w:rPr>
          <w:color w:val="000000"/>
          <w:kern w:val="0"/>
          <w:szCs w:val="21"/>
        </w:rPr>
      </w:pPr>
    </w:p>
    <w:p>
      <w:pPr>
        <w:widowControl/>
        <w:snapToGrid w:val="0"/>
        <w:spacing w:line="360" w:lineRule="auto"/>
        <w:ind w:firstLine="5258" w:firstLineChars="2504"/>
        <w:jc w:val="left"/>
        <w:rPr>
          <w:color w:val="000000"/>
          <w:kern w:val="0"/>
          <w:szCs w:val="21"/>
        </w:rPr>
      </w:pPr>
      <w:r>
        <w:rPr>
          <w:color w:val="000000"/>
          <w:kern w:val="0"/>
          <w:szCs w:val="21"/>
        </w:rPr>
        <w:t>企业名称（盖章）：</w:t>
      </w:r>
    </w:p>
    <w:p>
      <w:pPr>
        <w:widowControl/>
        <w:snapToGrid w:val="0"/>
        <w:spacing w:line="360" w:lineRule="auto"/>
        <w:ind w:firstLine="5258" w:firstLineChars="2504"/>
        <w:jc w:val="left"/>
        <w:rPr>
          <w:color w:val="000000"/>
          <w:kern w:val="0"/>
          <w:szCs w:val="21"/>
        </w:rPr>
      </w:pPr>
      <w:r>
        <w:rPr>
          <w:color w:val="000000"/>
          <w:kern w:val="0"/>
          <w:szCs w:val="21"/>
        </w:rPr>
        <w:t>日 期</w:t>
      </w:r>
    </w:p>
    <w:p>
      <w:pPr>
        <w:snapToGrid w:val="0"/>
        <w:spacing w:line="360" w:lineRule="auto"/>
        <w:jc w:val="center"/>
        <w:rPr>
          <w:b/>
          <w:color w:val="000000"/>
          <w:sz w:val="28"/>
          <w:szCs w:val="28"/>
        </w:rPr>
      </w:pPr>
    </w:p>
    <w:p>
      <w:pPr>
        <w:snapToGrid w:val="0"/>
        <w:spacing w:line="360" w:lineRule="auto"/>
        <w:jc w:val="center"/>
        <w:rPr>
          <w:b/>
          <w:color w:val="000000"/>
          <w:sz w:val="28"/>
          <w:szCs w:val="28"/>
        </w:rPr>
      </w:pPr>
      <w:r>
        <w:rPr>
          <w:b/>
          <w:bCs/>
          <w:color w:val="000000"/>
        </w:rPr>
        <w:br w:type="page"/>
      </w:r>
      <w:r>
        <w:rPr>
          <w:b/>
          <w:color w:val="000000"/>
          <w:sz w:val="28"/>
          <w:szCs w:val="28"/>
        </w:rPr>
        <w:t>残疾人福利性单位声明函</w:t>
      </w:r>
    </w:p>
    <w:p>
      <w:pPr>
        <w:tabs>
          <w:tab w:val="left" w:pos="1680"/>
        </w:tabs>
        <w:snapToGrid w:val="0"/>
        <w:spacing w:line="480" w:lineRule="exact"/>
        <w:jc w:val="center"/>
        <w:rPr>
          <w:rFonts w:eastAsia="华文中宋"/>
          <w:b/>
          <w:color w:val="000000"/>
          <w:sz w:val="24"/>
        </w:rPr>
      </w:pPr>
    </w:p>
    <w:p>
      <w:pPr>
        <w:pStyle w:val="63"/>
        <w:ind w:firstLine="420" w:firstLineChars="200"/>
        <w:jc w:val="left"/>
        <w:rPr>
          <w:rFonts w:ascii="Times New Roman" w:eastAsia="宋体"/>
          <w:color w:val="000000"/>
        </w:rPr>
      </w:pPr>
      <w:r>
        <w:rPr>
          <w:rFonts w:ascii="Times New Roman" w:eastAsia="宋体"/>
          <w:color w:val="000000"/>
        </w:rPr>
        <w:t>本单位郑重声明，根据《财政部 民政部 中国残疾人联合会关于促进残疾人就业政府采购政策的通知》（财库〔2017〕141号）的规定，本单位为符合条件的残疾人福利性单位，且本单位参加______单位的______项目（项目编号：__________________）采购活动提供本单位制造的货物（由本单位承担工程/提供服务），或者提供其他残疾人福利性单位制造的货物（不包括使用非残疾人福利性单位注册商标的货物）。</w:t>
      </w:r>
    </w:p>
    <w:p>
      <w:pPr>
        <w:pStyle w:val="63"/>
        <w:ind w:firstLine="420" w:firstLineChars="200"/>
        <w:jc w:val="left"/>
        <w:rPr>
          <w:rFonts w:ascii="Times New Roman" w:eastAsia="宋体"/>
          <w:color w:val="000000"/>
        </w:rPr>
      </w:pPr>
      <w:r>
        <w:rPr>
          <w:rFonts w:ascii="Times New Roman" w:eastAsia="宋体"/>
          <w:color w:val="000000"/>
        </w:rPr>
        <w:t>本单位对上述声明的真实性负责。如有虚假，将依法承担相应责任。</w:t>
      </w:r>
    </w:p>
    <w:p>
      <w:pPr>
        <w:spacing w:line="588" w:lineRule="exact"/>
        <w:ind w:firstLine="444" w:firstLineChars="200"/>
        <w:rPr>
          <w:rFonts w:eastAsia="华文中宋"/>
          <w:color w:val="000000"/>
          <w:spacing w:val="6"/>
          <w:szCs w:val="21"/>
        </w:rPr>
      </w:pPr>
    </w:p>
    <w:p>
      <w:pPr>
        <w:spacing w:line="588" w:lineRule="exact"/>
        <w:ind w:firstLine="444" w:firstLineChars="200"/>
        <w:rPr>
          <w:rFonts w:eastAsia="华文中宋"/>
          <w:color w:val="000000"/>
          <w:spacing w:val="6"/>
          <w:szCs w:val="21"/>
        </w:rPr>
      </w:pPr>
    </w:p>
    <w:p>
      <w:pPr>
        <w:pStyle w:val="63"/>
        <w:ind w:firstLine="4960" w:firstLineChars="2362"/>
        <w:jc w:val="left"/>
        <w:rPr>
          <w:rFonts w:ascii="Times New Roman" w:eastAsia="宋体"/>
          <w:color w:val="000000"/>
        </w:rPr>
      </w:pPr>
      <w:r>
        <w:rPr>
          <w:rFonts w:ascii="Times New Roman" w:eastAsia="宋体"/>
          <w:color w:val="000000"/>
        </w:rPr>
        <w:t>企业名称（盖章）：</w:t>
      </w:r>
    </w:p>
    <w:p>
      <w:pPr>
        <w:pStyle w:val="63"/>
        <w:ind w:firstLine="4960" w:firstLineChars="2362"/>
        <w:jc w:val="left"/>
        <w:rPr>
          <w:rFonts w:ascii="Times New Roman" w:eastAsia="宋体"/>
          <w:color w:val="000000"/>
        </w:rPr>
      </w:pPr>
      <w:r>
        <w:rPr>
          <w:rFonts w:ascii="Times New Roman" w:eastAsia="宋体"/>
          <w:color w:val="000000"/>
        </w:rPr>
        <w:t>日 期：</w:t>
      </w:r>
    </w:p>
    <w:p>
      <w:pPr>
        <w:spacing w:line="480" w:lineRule="exact"/>
        <w:rPr>
          <w:rFonts w:eastAsia="华文中宋"/>
          <w:b/>
          <w:color w:val="000000"/>
          <w:sz w:val="24"/>
        </w:rPr>
      </w:pPr>
    </w:p>
    <w:p>
      <w:pPr>
        <w:spacing w:line="480" w:lineRule="exact"/>
        <w:rPr>
          <w:rFonts w:eastAsia="华文中宋"/>
          <w:b/>
          <w:color w:val="000000"/>
          <w:sz w:val="24"/>
        </w:rPr>
      </w:pPr>
    </w:p>
    <w:p>
      <w:pPr>
        <w:pStyle w:val="63"/>
        <w:ind w:firstLine="420" w:firstLineChars="200"/>
        <w:jc w:val="left"/>
        <w:rPr>
          <w:rFonts w:ascii="Times New Roman" w:eastAsia="宋体"/>
          <w:color w:val="000000"/>
        </w:rPr>
      </w:pPr>
      <w:r>
        <w:rPr>
          <w:rFonts w:ascii="Times New Roman" w:eastAsia="宋体"/>
          <w:color w:val="000000"/>
        </w:rPr>
        <w:t>注：中标供应商为残疾人福利性单位的，集采机构随中标结果同时公告其《残疾人福利性单位声明函》</w:t>
      </w:r>
    </w:p>
    <w:p>
      <w:pPr>
        <w:rPr>
          <w:color w:val="000000"/>
        </w:rPr>
      </w:pPr>
    </w:p>
    <w:p>
      <w:pPr>
        <w:rPr>
          <w:color w:val="000000"/>
        </w:rPr>
        <w:sectPr>
          <w:footerReference r:id="rId7" w:type="default"/>
          <w:pgSz w:w="11907" w:h="16840"/>
          <w:pgMar w:top="1440" w:right="1797" w:bottom="1440" w:left="1797" w:header="709" w:footer="992" w:gutter="0"/>
          <w:cols w:space="720" w:num="1"/>
          <w:docGrid w:linePitch="312" w:charSpace="0"/>
        </w:sectPr>
      </w:pPr>
    </w:p>
    <w:p>
      <w:pPr>
        <w:pStyle w:val="16"/>
        <w:jc w:val="center"/>
        <w:rPr>
          <w:rFonts w:hint="eastAsia"/>
          <w:b/>
          <w:bCs/>
          <w:color w:val="000000"/>
          <w:kern w:val="0"/>
          <w:sz w:val="36"/>
          <w:szCs w:val="36"/>
          <w:lang w:val="en-US" w:eastAsia="zh-CN"/>
        </w:rPr>
      </w:pPr>
      <w:r>
        <w:rPr>
          <w:rFonts w:hint="eastAsia"/>
          <w:b/>
          <w:bCs/>
          <w:color w:val="000000"/>
          <w:kern w:val="0"/>
          <w:sz w:val="32"/>
          <w:szCs w:val="32"/>
          <w:lang w:val="en-US" w:eastAsia="zh-CN"/>
        </w:rPr>
        <w:t>2024年太原市迎泽区市场监督管理局包1监督抽检任务表</w:t>
      </w:r>
    </w:p>
    <w:tbl>
      <w:tblPr>
        <w:tblStyle w:val="31"/>
        <w:tblW w:w="8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1"/>
        <w:gridCol w:w="1213"/>
        <w:gridCol w:w="1022"/>
        <w:gridCol w:w="1042"/>
        <w:gridCol w:w="684"/>
        <w:gridCol w:w="2927"/>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1"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食品大类(一级)</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食品亚类</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(二级)</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食品品种</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(三级)</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食品细类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(四级)</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风险等级</w:t>
            </w:r>
          </w:p>
        </w:tc>
        <w:tc>
          <w:tcPr>
            <w:tcW w:w="29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抽检项目</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食用农产品</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畜禽肉及副产品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畜肉</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挥发性盐基氮、五氯酚酸钠(以五氯酚计)、克伦特罗、莱克多巴胺、沙丁胺醇、恩诺沙星、磺胺类(总量)、甲氧苄啶、地塞米松</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五氯酚酸钠(以五氯酚计)、克伦特罗、莱克多巴胺、沙丁胺醇、磺胺类(总量)、地塞米松、林可霉素、土霉素/金霉素/四环素(组合含量)</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氯霉素、五氯酚酸钠(以五氯酚计)、克伦特罗、莱克多巴胺、沙丁胺醇、恩诺沙星、磺胺类(总量)、土霉素/金霉素/四环素（组合含量）</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其他畜肉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呋喃唑酮代谢物、氯霉素、五氯酚酸钠(以五氯酚计)、克伦特罗、莱克多巴胺、沙丁胺醇、氧氟沙星、恩诺沙星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禽肉</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挥发性盐基氮、呋喃唑酮代谢物、呋喃西林代谢物、呋喃它酮代谢物、五氯酚酸钠(以五氯酚计)、氧氟沙星、恩诺沙星、甲氧苄啶、尼卡巴嗪</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鸭肉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呋喃唑酮代谢物、呋喃妥因代谢物、氯霉素、五氯酚酸钠(以五氯酚计)、氧氟沙星、恩诺沙星、甲氧苄啶、氟苯尼考</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其他禽肉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氯霉素、五氯酚酸钠(以五氯酚计)、氧氟沙星、诺氟沙星、恩诺沙星、氟苯尼考、多西环素、甲硝唑</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畜禽肉及副产品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畜副产品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镉(以Cd计)、呋喃唑酮代谢物、呋喃西林代谢物、五氯酚酸钠(以五氯酚计)、克伦特罗、莱克多巴胺、沙丁胺醇、恩诺沙星</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克伦特罗、莱克多巴胺、沙丁胺醇</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克伦特罗、莱克多巴胺、沙丁胺醇、磺胺类(总量)、环丙氨嗪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呋喃西林代谢物、氯霉素、五氯酚酸钠(以五氯酚计)、克伦特罗、莱克多巴胺、沙丁胺醇、恩诺沙星、甲氧苄啶</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恩诺沙星、莱克多巴胺、沙丁胺醇、克伦特罗</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镉(以Cd计)、恩诺沙星、克伦特罗、莱克多巴胺、沙丁胺醇、环丙氨嗪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其他畜副产品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呋喃西林代谢物、呋喃唑酮代谢物、五氯酚酸钠(以五氯酚计)、克伦特罗、莱克多巴胺、沙丁胺醇、氧氟沙星、诺氟沙星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禽副产品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呋喃唑酮代谢物、呋喃西林代谢物、氯霉素、五氯酚酸钠(以五氯酚计)、氧氟沙星、恩诺沙星、环丙氨嗪</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其他禽副产品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呋喃唑酮代谢物、呋喃西林代谢物、氯霉素、五氯酚酸钠(以五氯酚计)、氧氟沙星、诺氟沙星、恩诺沙星、环丙氨嗪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豆芽</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豆芽</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铅(以Pb计)、总汞(以Hg计)、4-氯苯氧乙酸钠(以4-氯苯氧乙酸计)、6-苄基腺嘌呤(6-BA)、亚硫酸盐(以SO2计)</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鲜食用菌</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鲜食用菌</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镉(以Cd计)、百菌清、除虫脲、氯氟氰菊酯和高效氯氟氰菊酯、氯氰菊酯和高效氯氰菊酯、咪鲜胺和咪鲜胺锰盐</w:t>
            </w:r>
          </w:p>
        </w:tc>
        <w:tc>
          <w:tcPr>
            <w:tcW w:w="62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鳞茎类蔬菜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韭菜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镉(以Cd计)、阿维菌素、毒死蜱、多菌灵、腐霉利、氯氟氰菊酯和高效氯氟氰菊酯、氯氰菊酯和高效氯氰菊酯、氧乐果</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葱</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铅（以Pb计）、镉（以Cd计）、毒死婢、甲拌磷、氯氟氰菊酯和高效氯氟氰菊酯、噻虫嗪、水胺硫磷、戊唑醇、氧乐果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芸薹属类蔬菜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结球甘蓝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毒死蜱、甲胺磷、甲基异柳磷、克百威、乐果、灭线磷、噻虫嗪、三唑磷</w:t>
            </w:r>
          </w:p>
        </w:tc>
        <w:tc>
          <w:tcPr>
            <w:tcW w:w="621"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菜薹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镉(以Cd计)、吡虫啉、啶虫脒、毒死蜱、氟虫腈、甲拌磷、联苯菊酯</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叶菜类蔬菜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菠菜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铅(以Pb计)、镉(以Cd计)、铬(以Cr计)、阿维菌素、毒死蜱、氟虫腈、氯氟氰菊酯和高效氯氟氰菊酯、氯氰菊酯和高效氯氰菊酯、氧乐果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大白菜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镉(以Cd计)、阿维菌素、吡虫啉、毒死蜱、氟虫腈、甲胺磷、甲拌磷、乐果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普通白菜（小白菜、小油菜、青菜）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镉(以Cd计)、阿维菌素、吡虫啉、啶虫脒、毒死蜱、氟虫腈、甲氨基阿维菌素苯甲酸盐、氯氟氰菊酯和高效氯氟氰菊酯、氧乐果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芹菜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铅（以Pb计）、镉（以Cd计）、苯醚甲环唑、毒死蜱、甲拌磷、腈菌唑、氯氟氰菊酯和高效氯氟氰菊酯、噻虫胺、氧乐果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油麦菜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阿维菌素、啶虫脒、毒死蜱、氟虫腈、甲氨基阿维菌素苯甲酸盐、腈菌唑、噻虫嗪、水胺硫磷、氧乐果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茄果类蔬菜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茄子</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镉(以Cd计)、毒死蜱、甲氨基阿维菌素苯甲酸盐、甲胺磷、甲拌磷、克百威、噻虫胺、噻虫嗪、氧乐果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辣椒</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镉(以Cd计)、倍硫磷、吡虫啉、啶虫脒、毒死蜱、甲氨基阿维菌素苯甲酸盐、甲拌磷、克百威、噻虫胺、噻虫嗪</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番茄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镉(以Cd计)、敌敌畏、毒死蜱、腐霉利、甲拌磷、氯氟氰菊酯和高效氯氟氰菊酯、噻虫嗪、烯酰吗啉</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甜椒</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镉(以Cd计)、阿维菌素、倍硫磷、吡虫啉、吡唑醚菌酯、毒死蜱、噻虫胺、噻虫嗪</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瓜类蔬菜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阿维菌素、哒螨灵、敌敌畏、毒死蜱、甲氨基阿维菌素苯甲酸盐、克百威、噻虫嗪、氧乐果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豇豆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倍硫磷、啶虫脒、毒死蜱、氟虫腈、甲氨基阿维菌素苯甲酸盐、氯氟氰菊酯和高效氯氟氰菊酯、灭蝇胺、噻虫胺、噻虫嗪、氧乐果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菜豆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吡虫啉、毒死蜱、甲氨基阿维菌素苯甲酸盐、甲胺磷、灭蝇胺、噻虫胺、氧乐果、乙酰甲胺磷</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食荚豌豆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吡唑醚菌酯、毒死蜱、多菌灵、甲氨基阿维菌素苯甲酸盐、灭蝇胺、噻虫胺、噻虫嗪、氧乐果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根茎类和</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薯芋类蔬</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山药</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铅(以Pb计)、毒死蜱、克百威、氯氟氰菊酯和高效氯氟氰菊酯、咪鲜胺和咪鲜胺锰盐、涕灭威</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胡萝卜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铅(以Pb计)、毒死蜱、氟虫腈、甲拌磷、氯氟氰菊酯和高效氯氟氰菊酯、噻虫胺、乙酰甲胺磷</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萝卜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铅（以Pb计）、毒死蜱、甲胺磷、甲拌磷、甲基对硫磷、乐果、氯氟氰菊酯和高效氯氟氰菊酯、噻虫嗪</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铅(以Pb计)、毒死蜱、噻虫胺、噻虫嗪、吡虫啉、甲拌磷、克百威、氯氟氰菊酯和高效氯氟氰菊酯、氯氰菊酯和高效氯氰菊酯、氧乐果</w:t>
            </w: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镉（以Cd计）、孔雀石绿、氯霉素、氟苯尼考、恩诺沙星、甲氧苄啶、地西泮、五氯酚酸钠(以五氯酚计)、氧氟沙星</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镉(以Cd计)、孔雀石绿、呋喃唑酮代谢物、呋喃妥因代谢物、恩诺沙星、五氯酚酸钠(以五氯酚计)、氧氟沙星、诺氟沙星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镉(以Cd计)、孔雀石绿、氯霉素、五氯酚酸钠(以五氯酚计)、呋喃唑酮代谢物、氧氟沙星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挥发性盐基氮、镉(以Cd计)、孔雀石绿、呋喃唑酮代谢物、呋喃它酮代谢物、呋喃西林代谢物、恩诺沙星、五氯酚酸钠(以五氯酚计）</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挥发性盐基氮、镉(以Cd计)、二氧化硫残留量、孔雀石绿、氯霉素、呋喃唑酮代谢物、呋喃它酮代谢物、呋喃妥因代谢物</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镉(以Cd计)、二氧化硫残留量、孔雀石绿、氯霉素、呋喃妥因代谢物、诺氟沙星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贝类</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贝类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镉(以Cd计)、无机砷（以As计）、孔雀石绿、氯霉素、氟苯尼考、呋喃唑酮代谢物、呋喃西林代谢物、呋喃妥因代谢物</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其他水产品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其他水产品（重点 品种：牛蛙）</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w:t>
            </w:r>
            <w:r>
              <w:rPr>
                <w:rFonts w:hint="default" w:ascii="Times New Roman" w:hAnsi="Times New Roman" w:eastAsia="宋体" w:cs="Times New Roman"/>
                <w:i w:val="0"/>
                <w:iCs w:val="0"/>
                <w:color w:val="000000"/>
                <w:kern w:val="0"/>
                <w:sz w:val="18"/>
                <w:szCs w:val="18"/>
                <w:u w:val="none"/>
                <w:lang w:val="en-US" w:eastAsia="zh-CN" w:bidi="ar"/>
              </w:rPr>
              <w:t>b</w:t>
            </w:r>
            <w:r>
              <w:rPr>
                <w:rFonts w:hint="eastAsia" w:ascii="Times New Roman" w:hAnsi="Times New Roman" w:eastAsia="宋体" w:cs="Times New Roman"/>
                <w:i w:val="0"/>
                <w:iCs w:val="0"/>
                <w:color w:val="000000"/>
                <w:kern w:val="0"/>
                <w:sz w:val="18"/>
                <w:szCs w:val="18"/>
                <w:u w:val="none"/>
                <w:lang w:val="en-US" w:eastAsia="zh-CN" w:bidi="ar"/>
              </w:rPr>
              <w:t>、孔雀石绿、氯霉素、呋喃唑酮代谢物、呋喃西林代谢物、呋喃妥因代谢物、恩诺沙星</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Times New Roman" w:hAnsi="Times New Roman" w:eastAsia="宋体" w:cs="Times New Roman"/>
                <w:i w:val="0"/>
                <w:iCs w:val="0"/>
                <w:color w:val="000000"/>
                <w:kern w:val="0"/>
                <w:sz w:val="18"/>
                <w:szCs w:val="18"/>
                <w:u w:val="none"/>
                <w:lang w:val="en-US" w:eastAsia="zh-CN" w:bidi="ar"/>
              </w:rPr>
              <w:t>、氧氟沙星、诺氟沙星a.仅蛙科、鳖科食品动物检测b.限头足类、腹足类、棘皮类检测。</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水果类</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仁果类水 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苹果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敌敌畏、啶虫脒、毒死蜱、甲拌磷、克百威、氧乐果、三氯杀螨醇</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梨</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敌敌畏、毒死蜱、多菌灵、克百威、氯氟氰菊酯和高效氯氟氰菊酯、氧乐果、苯醚甲环唑、咪鲜胺和咪鲜胺锰盐</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核果类水果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枣</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多菌灵、氟虫腈、氰戊菊酯和S-氰戊菊酯、氧乐果、糖精钠(以糖精计)</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桃</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苯醚甲环唑、敌敌畏、多菌灵、氟硅唑、甲胺磷、克百威、氧乐果、溴氰菊酯、吡虫啉</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油桃</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多菌灵、甲胺磷、克百威、氧乐果、敌敌畏、苯醚甲环唑、噻虫胺</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柑橘类水果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柑、橘</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苯醚甲环唑、丙溴磷、克百威、联苯菊酯、三唑磷、水胺硫磷、氯氟氰菊酯和高效氯氟氰菊酯、甲拌磷、2,4-滴和2,4-滴钠盐</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柚</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水胺硫磷、联苯菊酯、氯氟氰菊酯和高效氯氟氰菊酯、氯唑磷、多菌灵、克百威</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柠檬</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多菌灵、克百威、联苯菊酯、水胺硫磷、乙螨唑、氯唑磷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橙</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丙溴磷、克百威、联苯菊酯、三唑磷、水胺硫磷、2,4-滴和2,4-滴钠盐、苯醚甲环唑、氯唑磷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浆果和其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他小型水</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葡萄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苯醚甲环唑、己唑醇、克百威、氯氰菊酯和高效氯氰菊酯、霜霉威和霜霉威盐酸盐、氧乐果、氯氟氰菊酯和高效氯氟氰菊酯、氯吡脲</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草莓</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阿维菌素、敌敌畏、多菌灵、克百威、烯酰吗啉、氧乐果、戊菌唑、吡虫啉、乙酰甲胺磷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桑葚</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脱氢乙酸及其钠盐（以脱氢乙酸计）、苯甲酸及其钠盐（以苯甲酸计）、山梨酸及其钾盐（以山梨酸计）、糖精钠（以糖精计）、三氯蔗糖、甜蜜素(以环已基氨基</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磺酸计)、多菌灵</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猕猴桃</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敌敌畏、多菌灵、氯吡脲、氧乐果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热带和亚热带水果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苯醚甲环唑、吡唑醚菌酯、多菌灵、氟虫腈、甲拌磷、腈苯唑、吡虫啉、噻虫胺、噻虫嗪、百菌清</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芒果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苯醚甲环唑、多菌灵、戊唑醇、氧乐果、吡唑醚菌酯、噻虫胺、乙酰甲胺磷、吡虫啉</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火龙果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氟虫腈、甲胺磷、克百威、氧乐果、乙酰甲胺磷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荔枝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多菌灵、氧乐果、毒死蜱、苯醚甲环唑、氯氰菊酯和高效氯氰菊酯、氯氟氰菊酯和高效氯氟氰菊酯、吡唑醚菌酯、除虫脲</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杨梅</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脱氢乙酸及其钠盐（以脱氢乙酸计）、苯甲酸及其钠盐（以苯甲酸计）、山梨酸及其钾盐（以山梨酸计）、糖精钠（以糖精计）、三氯蔗糖、甜蜜素(以环已基氨基磺酸计)、敌敌畏、氧乐果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龙眼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二氧化硫残留量、克百威、氯氰菊酯和高效氯氰菊酯、氧乐果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橄榄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三氯蔗糖、糖精钠（以糖精计）、甜蜜素(以环已基氨基磺酸计)、多菌灵</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番木瓜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噻虫胺、噻虫嗪、乙酰甲胺磷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瓜果类水果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西瓜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克百威、噻虫嗪、氧乐果、乙酰甲胺磷、苯醚甲环唑</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甜瓜类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克百威、烯酰吗啉、氧乐果、乙酰甲胺磷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鲜蛋</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鲜蛋</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鸡蛋</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甲硝唑、地美硝唑、氟虫腈、氟苯尼考、甲砜霉素、恩诺沙星、氧氟沙星、甲氧苄啶、多西环素</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其他禽蛋</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呋喃唑酮代谢物、磺胺类（总量）、多西环素</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铅(以Pb计)、铬(以Cr计)、赭曲霉毒素A、吡虫啉、环丙唑醇</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与籽类食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与籽类食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酸价(以脂肪计)（KOH）、过氧化值(以脂肪计)、铅(以Pb计)、吡虫啉</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生干籽类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酸价(以脂肪计)（KOH）、过氧化值(以脂肪计)、铅(以Pb计)、镉(以Cd计)、黄曲霉毒素B</w:t>
            </w: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、噻虫嗪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79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合计</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416</w:t>
            </w:r>
          </w:p>
        </w:tc>
      </w:tr>
    </w:tbl>
    <w:p>
      <w:pPr>
        <w:pStyle w:val="16"/>
        <w:jc w:val="center"/>
        <w:rPr>
          <w:rFonts w:hint="eastAsia"/>
          <w:b/>
          <w:bCs/>
          <w:color w:val="000000"/>
          <w:kern w:val="0"/>
          <w:sz w:val="36"/>
          <w:szCs w:val="36"/>
          <w:lang w:val="en-US" w:eastAsia="zh-CN"/>
        </w:rPr>
      </w:pPr>
    </w:p>
    <w:p>
      <w:pPr>
        <w:rPr>
          <w:rFonts w:hint="eastAsia"/>
          <w:b/>
          <w:bCs/>
          <w:color w:val="000000"/>
          <w:kern w:val="0"/>
          <w:sz w:val="32"/>
          <w:szCs w:val="32"/>
          <w:lang w:val="en-US" w:eastAsia="zh-CN"/>
        </w:rPr>
      </w:pPr>
      <w:r>
        <w:rPr>
          <w:rFonts w:hint="eastAsia"/>
          <w:b/>
          <w:bCs/>
          <w:color w:val="000000"/>
          <w:kern w:val="0"/>
          <w:sz w:val="32"/>
          <w:szCs w:val="32"/>
          <w:lang w:val="en-US" w:eastAsia="zh-CN"/>
        </w:rPr>
        <w:br w:type="page"/>
      </w:r>
    </w:p>
    <w:p>
      <w:pPr>
        <w:pStyle w:val="16"/>
        <w:jc w:val="center"/>
        <w:rPr>
          <w:rFonts w:hint="eastAsia"/>
          <w:b/>
          <w:bCs/>
          <w:color w:val="000000"/>
          <w:kern w:val="0"/>
          <w:sz w:val="36"/>
          <w:szCs w:val="36"/>
          <w:lang w:val="en-US" w:eastAsia="zh-CN"/>
        </w:rPr>
      </w:pPr>
      <w:r>
        <w:rPr>
          <w:rFonts w:hint="eastAsia"/>
          <w:b/>
          <w:bCs/>
          <w:color w:val="000000"/>
          <w:kern w:val="0"/>
          <w:sz w:val="32"/>
          <w:szCs w:val="32"/>
          <w:lang w:val="en-US" w:eastAsia="zh-CN"/>
        </w:rPr>
        <w:t>2024年太原市迎泽区市场监督管理局包2监督抽检任务表</w:t>
      </w:r>
    </w:p>
    <w:tbl>
      <w:tblPr>
        <w:tblStyle w:val="31"/>
        <w:tblW w:w="8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1"/>
        <w:gridCol w:w="1213"/>
        <w:gridCol w:w="1022"/>
        <w:gridCol w:w="1042"/>
        <w:gridCol w:w="684"/>
        <w:gridCol w:w="2927"/>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食品大类(一级)</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食品亚类</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(二级)</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食品品种</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(三级)</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食品细类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(四级)</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风险等级</w:t>
            </w:r>
          </w:p>
        </w:tc>
        <w:tc>
          <w:tcPr>
            <w:tcW w:w="29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抽检项目</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食用农产品</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畜禽肉及副产品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畜肉</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挥发性盐基氮、五氯酚酸钠(以五氯酚计)、克伦特罗、莱克多巴胺、沙丁胺醇、恩诺沙星、磺胺类(总量)、甲氧苄啶、地塞米松</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五氯酚酸钠(以五氯酚计)、克伦特罗、莱克多巴胺、沙丁胺醇、磺胺类(总量)、地塞米松、林可霉素、土霉素/金霉素/四环素(组合含量)</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氯霉素、五氯酚酸钠(以五氯酚计)、克伦特罗、莱克多巴胺、沙丁胺醇、恩诺沙星、磺胺类(总量)、土霉素/金霉素/四环素（组合含量）</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其他畜肉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呋喃唑酮代谢物、氯霉素、五氯酚酸钠(以五氯酚计)、克伦特罗、莱克多巴胺、沙丁胺醇、氧氟沙星、恩诺沙星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禽肉</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挥发性盐基氮、呋喃唑酮代谢物、呋喃西林代谢物、呋喃它酮代谢物、五氯酚酸钠(以五氯酚计)、氧氟沙星、恩诺沙星、甲氧苄啶、尼卡巴嗪</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鸭肉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呋喃唑酮代谢物、呋喃妥因代谢物、氯霉素、五氯酚酸钠(以五氯酚计)、氧氟沙星、恩诺沙星、甲氧苄啶、氟苯尼考</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其他禽肉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氯霉素、五氯酚酸钠(以五氯酚计)、氧氟沙星、诺氟沙星、恩诺沙星、氟苯尼考、多西环素、甲硝唑</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畜禽肉及副产品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畜副产品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镉(以Cd计)、呋喃唑酮代谢物、呋喃西林代谢物、五氯酚酸钠(以五氯酚计)、克伦特罗、莱克多巴胺、沙丁胺醇、恩诺沙星</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克伦特罗、莱克多巴胺、沙丁胺醇</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克伦特罗、莱克多巴胺、沙丁胺醇、磺胺类(总量)、环丙氨嗪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呋喃西林代谢物、氯霉素、五氯酚酸钠(以五氯酚计)、克伦特罗、莱克多巴胺、沙丁胺醇、恩诺沙星、甲氧苄啶</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恩诺沙星、莱克多巴胺、沙丁胺醇、克伦特罗</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镉(以Cd计)、恩诺沙星、克伦特罗、莱克多巴胺、沙丁胺醇、环丙氨嗪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其他畜副产品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呋喃西林代谢物、呋喃唑酮代谢物、五氯酚酸钠(以五氯酚计)、克伦特罗、莱克多巴胺、沙丁胺醇、氧氟沙星、诺氟沙星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禽副产品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呋喃唑酮代谢物、呋喃西林代谢物、氯霉素、五氯酚酸钠(以五氯酚计)、氧氟沙星、恩诺沙星、环丙氨嗪</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其他禽副产品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呋喃唑酮代谢物、呋喃西林代谢物、氯霉素、五氯酚酸钠(以五氯酚计)、氧氟沙星、诺氟沙星、恩诺沙星、环丙氨嗪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豆芽</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豆芽</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铅(以Pb计)、总汞(以Hg计)、4-氯苯氧乙酸钠(以4-氯苯氧乙酸计)、6-苄基腺嘌呤(6-BA)、亚硫酸盐(以SO2计)</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鲜食用菌</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鲜食用菌</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镉(以Cd计)、百菌清、除虫脲、氯氟氰菊酯和高效氯氟氰菊酯、氯氰菊酯和高效氯氰菊酯、咪鲜胺和咪鲜胺锰盐</w:t>
            </w:r>
          </w:p>
        </w:tc>
        <w:tc>
          <w:tcPr>
            <w:tcW w:w="62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鳞茎类蔬菜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韭菜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镉(以Cd计)、阿维菌素、毒死蜱、多菌灵、腐霉利、氯氟氰菊酯和高效氯氟氰菊酯、氯氰菊酯和高效氯氰菊酯、氧乐果</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葱</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铅（以Pb计）、镉（以Cd计）、毒死婢、甲拌磷、氯氟氰菊酯和高效氯氟氰菊酯、噻虫嗪、水胺硫磷、戊唑醇、氧乐果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芸薹属类蔬菜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结球甘蓝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毒死蜱、甲胺磷、甲基异柳磷、克百威、乐果、灭线磷、噻虫嗪、三唑磷</w:t>
            </w:r>
          </w:p>
        </w:tc>
        <w:tc>
          <w:tcPr>
            <w:tcW w:w="621"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菜薹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镉(以Cd计)、吡虫啉、啶虫脒、毒死蜱、氟虫腈、甲拌磷、联苯菊酯</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叶菜类蔬菜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菠菜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铅(以Pb计)、镉(以Cd计)、铬(以Cr计)、阿维菌素、毒死蜱、氟虫腈、氯氟氰菊酯和高效氯氟氰菊酯、氯氰菊酯和高效氯氰菊酯、氧乐果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大白菜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镉(以Cd计)、阿维菌素、吡虫啉、毒死蜱、氟虫腈、甲胺磷、甲拌磷、乐果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普通白菜（小白菜、小油菜、青菜）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镉(以Cd计)、阿维菌素、吡虫啉、啶虫脒、毒死蜱、氟虫腈、甲氨基阿维菌素苯甲酸盐、氯氟氰菊酯和高效氯氟氰菊酯、氧乐果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芹菜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铅（以Pb计）、镉（以Cd计）、苯醚甲环唑、毒死蜱、甲拌磷、腈菌唑、氯氟氰菊酯和高效氯氟氰菊酯、噻虫胺、氧乐果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油麦菜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阿维菌素、啶虫脒、毒死蜱、氟虫腈、甲氨基阿维菌素苯甲酸盐、腈菌唑、噻虫嗪、水胺硫磷、氧乐果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茄果类蔬菜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茄子</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镉(以Cd计)、毒死蜱、甲氨基阿维菌素苯甲酸盐、甲胺磷、甲拌磷、克百威、噻虫胺、噻虫嗪、氧乐果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辣椒</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镉(以Cd计)、倍硫磷、吡虫啉、啶虫脒、毒死蜱、甲氨基阿维菌素苯甲酸盐、甲拌磷、克百威、噻虫胺、噻虫嗪</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番茄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镉(以Cd计)、敌敌畏、毒死蜱、腐霉利、甲拌磷、氯氟氰菊酯和高效氯氟氰菊酯、噻虫嗪、烯酰吗啉</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甜椒</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镉(以Cd计)、阿维菌素、倍硫磷、吡虫啉、吡唑醚菌酯、毒死蜱、噻虫胺、噻虫嗪</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瓜类蔬菜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阿维菌素、哒螨灵、敌敌畏、毒死蜱、甲氨基阿维菌素苯甲酸盐、克百威、噻虫嗪、氧乐果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豇豆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倍硫磷、啶虫脒、毒死蜱、氟虫腈、甲氨基阿维菌素苯甲酸盐、氯氟氰菊酯和高效氯氟氰菊酯、灭蝇胺、噻虫胺、噻虫嗪、氧乐果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菜豆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吡虫啉、毒死蜱、甲氨基阿维菌素苯甲酸盐、甲胺磷、灭蝇胺、噻虫胺、氧乐果、乙酰甲胺磷</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食荚豌豆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吡唑醚菌酯、毒死蜱、多菌灵、甲氨基阿维菌素苯甲酸盐、灭蝇胺、噻虫胺、噻虫嗪、氧乐果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根茎类和</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薯芋类蔬</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山药</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铅(以Pb计)、毒死蜱、克百威、氯氟氰菊酯和高效氯氟氰菊酯、咪鲜胺和咪鲜胺锰盐、涕灭威</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胡萝卜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铅(以Pb计)、毒死蜱、氟虫腈、甲拌磷、氯氟氰菊酯和高效氯氟氰菊酯、噻虫胺、乙酰甲胺磷</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萝卜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铅（以Pb计）、毒死蜱、甲胺磷、甲拌磷、甲基对硫磷、乐果、氯氟氰菊酯和高效氯氟氰菊酯、噻虫嗪</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铅(以Pb计)、毒死蜱、噻虫胺、噻虫嗪、吡虫啉、甲拌磷、克百威、氯氟氰菊酯和高效氯氟氰菊酯、氯氰菊酯和高效氯氰菊酯、氧乐果</w:t>
            </w: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镉（以Cd计）、孔雀石绿、氯霉素、氟苯尼考、恩诺沙星、甲氧苄啶、地西泮、五氯酚酸钠(以五氯酚计)、氧氟沙星</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镉(以Cd计)、孔雀石绿、呋喃唑酮代谢物、呋喃妥因代谢物、恩诺沙星、五氯酚酸钠(以五氯酚计)、氧氟沙星、诺氟沙星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镉(以Cd计)、孔雀石绿、氯霉素、五氯酚酸钠(以五氯酚计)、呋喃唑酮代谢物、氧氟沙星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挥发性盐基氮、镉(以Cd计)、孔雀石绿、呋喃唑酮代谢物、呋喃它酮代谢物、呋喃西林代谢物、恩诺沙星、五氯酚酸钠(以五氯酚计）</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挥发性盐基氮、镉(以Cd计)、二氧化硫残留量、孔雀石绿、氯霉素、呋喃唑酮代谢物、呋喃它酮代谢物、呋喃妥因代谢物</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镉(以Cd计)、二氧化硫残留量、孔雀石绿、氯霉素、呋喃妥因代谢物、诺氟沙星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贝类</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贝类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镉(以Cd计)、无机砷（以As计）、孔雀石绿、氯霉素、氟苯尼考、呋喃唑酮代谢物、呋喃西林代谢物、呋喃妥因代谢物</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其他水产品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其他水产品（重点 品种：牛蛙）</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w:t>
            </w:r>
            <w:r>
              <w:rPr>
                <w:rFonts w:hint="default" w:ascii="Times New Roman" w:hAnsi="Times New Roman" w:eastAsia="宋体" w:cs="Times New Roman"/>
                <w:i w:val="0"/>
                <w:iCs w:val="0"/>
                <w:color w:val="000000"/>
                <w:kern w:val="0"/>
                <w:sz w:val="18"/>
                <w:szCs w:val="18"/>
                <w:u w:val="none"/>
                <w:lang w:val="en-US" w:eastAsia="zh-CN" w:bidi="ar"/>
              </w:rPr>
              <w:t>b</w:t>
            </w:r>
            <w:r>
              <w:rPr>
                <w:rFonts w:hint="eastAsia" w:ascii="Times New Roman" w:hAnsi="Times New Roman" w:eastAsia="宋体" w:cs="Times New Roman"/>
                <w:i w:val="0"/>
                <w:iCs w:val="0"/>
                <w:color w:val="000000"/>
                <w:kern w:val="0"/>
                <w:sz w:val="18"/>
                <w:szCs w:val="18"/>
                <w:u w:val="none"/>
                <w:lang w:val="en-US" w:eastAsia="zh-CN" w:bidi="ar"/>
              </w:rPr>
              <w:t>、孔雀石绿、氯霉素、呋喃唑酮代谢物、呋喃西林代谢物、呋喃妥因代谢物、恩诺沙星</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Times New Roman" w:hAnsi="Times New Roman" w:eastAsia="宋体" w:cs="Times New Roman"/>
                <w:i w:val="0"/>
                <w:iCs w:val="0"/>
                <w:color w:val="000000"/>
                <w:kern w:val="0"/>
                <w:sz w:val="18"/>
                <w:szCs w:val="18"/>
                <w:u w:val="none"/>
                <w:lang w:val="en-US" w:eastAsia="zh-CN" w:bidi="ar"/>
              </w:rPr>
              <w:t>、氧氟沙星、诺氟沙星a.仅蛙科、鳖科食品动物检测b.限头足类、腹足类、棘皮类检测。</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水果类</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仁果类水 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苹果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敌敌畏、啶虫脒、毒死蜱、甲拌磷、克百威、氧乐果、三氯杀螨醇</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梨</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敌敌畏、毒死蜱、多菌灵、克百威、氯氟氰菊酯和高效氯氟氰菊酯、氧乐果、苯醚甲环唑、咪鲜胺和咪鲜胺锰盐</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核果类水果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枣</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多菌灵、氟虫腈、氰戊菊酯和S-氰戊菊酯、氧乐果、糖精钠(以糖精计)</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桃</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苯醚甲环唑、敌敌畏、多菌灵、氟硅唑、甲胺磷、克百威、氧乐果、溴氰菊酯、吡虫啉</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油桃</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多菌灵、甲胺磷、克百威、氧乐果、敌敌畏、苯醚甲环唑、噻虫胺</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柑橘类水果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柑、橘</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苯醚甲环唑、丙溴磷、克百威、联苯菊酯、三唑磷、水胺硫磷、氯氟氰菊酯和高效氯氟氰菊酯、甲拌磷、2,4-滴和2,4-滴钠盐</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柚</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水胺硫磷、联苯菊酯、氯氟氰菊酯和高效氯氟氰菊酯、氯唑磷、多菌灵、克百威</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柠檬</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多菌灵、克百威、联苯菊酯、水胺硫磷、乙螨唑、氯唑磷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橙</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丙溴磷、克百威、联苯菊酯、三唑磷、水胺硫磷、2,4-滴和2,4-滴钠盐、苯醚甲环唑、氯唑磷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浆果和其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他小型水</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葡萄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苯醚甲环唑、己唑醇、克百威、氯氰菊酯和高效氯氰菊酯、霜霉威和霜霉威盐酸盐、氧乐果、氯氟氰菊酯和高效氯氟氰菊酯、氯吡脲</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草莓</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阿维菌素、敌敌畏、多菌灵、克百威、烯酰吗啉、氧乐果、戊菌唑、吡虫啉、乙酰甲胺磷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桑葚</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脱氢乙酸及其钠盐（以脱氢乙酸计）、苯甲酸及其钠盐（以苯甲酸计）、山梨酸及其钾盐（以山梨酸计）、糖精钠（以糖精计）、三氯蔗糖、甜蜜素(以环已基氨基</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磺酸计)、多菌灵</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猕猴桃</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敌敌畏、多菌灵、氯吡脲、氧乐果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热带和亚热带水果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苯醚甲环唑、吡唑醚菌酯、多菌灵、氟虫腈、甲拌磷、腈苯唑、吡虫啉、噻虫胺、噻虫嗪、百菌清</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芒果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苯醚甲环唑、多菌灵、戊唑醇、氧乐果、吡唑醚菌酯、噻虫胺、乙酰甲胺磷、吡虫啉</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火龙果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氟虫腈、甲胺磷、克百威、氧乐果、乙酰甲胺磷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荔枝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多菌灵、氧乐果、毒死蜱、苯醚甲环唑、氯氰菊酯和高效氯氰菊酯、氯氟氰菊酯和高效氯氟氰菊酯、吡唑醚菌酯、除虫脲</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杨梅</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脱氢乙酸及其钠盐（以脱氢乙酸计）、苯甲酸及其钠盐（以苯甲酸计）、山梨酸及其钾盐（以山梨酸计）、糖精钠（以糖精计）、三氯蔗糖、甜蜜素(以环已基氨基磺酸计)、敌敌畏、氧乐果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龙眼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二氧化硫残留量、克百威、氯氰菊酯和高效氯氰菊酯、氧乐果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橄榄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三氯蔗糖、糖精钠（以糖精计）、甜蜜素(以环已基氨基磺酸计)、多菌灵</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番木瓜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噻虫胺、噻虫嗪、乙酰甲胺磷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瓜果类水果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西瓜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克百威、噻虫嗪、氧乐果、乙酰甲胺磷、苯醚甲环唑</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甜瓜类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克百威、烯酰吗啉、氧乐果、乙酰甲胺磷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鲜蛋</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鲜蛋</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鸡蛋</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甲硝唑、地美硝唑、氟虫腈、氟苯尼考、甲砜霉素、恩诺沙星、氧氟沙星、甲氧苄啶、多西环素</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其他禽蛋</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呋喃唑酮代谢物、磺胺类（总量）、多西环素</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铅(以Pb计)、铬(以Cr计)、赭曲霉毒素A、吡虫啉、环丙唑醇</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与籽类食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与籽类食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酸价(以脂肪计)（KOH）、过氧化值(以脂肪计)、铅(以Pb计)、吡虫啉</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生干籽类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酸价(以脂肪计)（KOH）、过氧化值(以脂肪计)、铅(以Pb计)、镉(以Cd计)、黄曲霉毒素B</w:t>
            </w: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、噻虫嗪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jc w:val="center"/>
        </w:trPr>
        <w:tc>
          <w:tcPr>
            <w:tcW w:w="79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合计</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416</w:t>
            </w:r>
          </w:p>
        </w:tc>
      </w:tr>
    </w:tbl>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2"/>
          <w:szCs w:val="32"/>
          <w:lang w:val="en-US" w:eastAsia="zh-CN"/>
        </w:rPr>
        <w:sectPr>
          <w:headerReference r:id="rId8" w:type="default"/>
          <w:pgSz w:w="11907" w:h="16840"/>
          <w:pgMar w:top="1440" w:right="1797" w:bottom="1440" w:left="1797" w:header="709" w:footer="992" w:gutter="0"/>
          <w:cols w:space="720" w:num="1"/>
          <w:docGrid w:linePitch="312" w:charSpace="0"/>
        </w:sectPr>
      </w:pPr>
    </w:p>
    <w:p>
      <w:pPr>
        <w:pStyle w:val="16"/>
        <w:jc w:val="center"/>
        <w:rPr>
          <w:rFonts w:hint="eastAsia"/>
          <w:b/>
          <w:bCs/>
          <w:color w:val="000000"/>
          <w:kern w:val="0"/>
          <w:sz w:val="36"/>
          <w:szCs w:val="36"/>
          <w:lang w:val="en-US" w:eastAsia="zh-CN"/>
        </w:rPr>
      </w:pPr>
      <w:r>
        <w:rPr>
          <w:rFonts w:hint="eastAsia"/>
          <w:b/>
          <w:bCs/>
          <w:color w:val="000000"/>
          <w:kern w:val="0"/>
          <w:sz w:val="32"/>
          <w:szCs w:val="32"/>
          <w:lang w:val="en-US" w:eastAsia="zh-CN"/>
        </w:rPr>
        <w:t>2024年太原市迎泽区市场监督管理局包3监督抽检任务表</w:t>
      </w:r>
    </w:p>
    <w:tbl>
      <w:tblPr>
        <w:tblStyle w:val="31"/>
        <w:tblW w:w="8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1"/>
        <w:gridCol w:w="1213"/>
        <w:gridCol w:w="1022"/>
        <w:gridCol w:w="1042"/>
        <w:gridCol w:w="684"/>
        <w:gridCol w:w="2927"/>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食品大类(一级)</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食品亚类</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(二级)</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食品品种</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(三级)</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食品细类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(四级)</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风险等级</w:t>
            </w:r>
          </w:p>
        </w:tc>
        <w:tc>
          <w:tcPr>
            <w:tcW w:w="292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抽检项目</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食用农产品</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畜禽肉及副产品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畜肉</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挥发性盐基氮、五氯酚酸钠(以五氯酚计)、克伦特罗、莱克多巴胺、沙丁胺醇、恩诺沙星、磺胺类(总量)、甲氧苄啶、地塞米松</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五氯酚酸钠(以五氯酚计)、克伦特罗、莱克多巴胺、沙丁胺醇、磺胺类(总量)、地塞米松、林可霉素、土霉素/金霉素/四环素(组合含量)</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氯霉素、五氯酚酸钠(以五氯酚计)、克伦特罗、莱克多巴胺、沙丁胺醇、恩诺沙星、磺胺类(总量)、土霉素/金霉素/四环素（组合含量）</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其他畜肉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呋喃唑酮代谢物、氯霉素、五氯酚酸钠(以五氯酚计)、克伦特罗、莱克多巴胺、沙丁胺醇、氧氟沙星、恩诺沙星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禽肉</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挥发性盐基氮、呋喃唑酮代谢物、呋喃西林代谢物、呋喃它酮代谢物、五氯酚酸钠(以五氯酚计)、氧氟沙星、恩诺沙星、甲氧苄啶、尼卡巴嗪</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鸭肉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呋喃唑酮代谢物、呋喃妥因代谢物、氯霉素、五氯酚酸钠(以五氯酚计)、氧氟沙星、恩诺沙星、甲氧苄啶、氟苯尼考</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其他禽肉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氯霉素、五氯酚酸钠(以五氯酚计)、氧氟沙星、诺氟沙星、恩诺沙星、氟苯尼考、多西环素、甲硝唑</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畜禽肉及副产品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畜副产品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镉(以Cd计)、呋喃唑酮代谢物、呋喃西林代谢物、五氯酚酸钠(以五氯酚计)、克伦特罗、莱克多巴胺、沙丁胺醇、恩诺沙星</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克伦特罗、莱克多巴胺、沙丁胺醇</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克伦特罗、莱克多巴胺、沙丁胺醇、磺胺类(总量)、环丙氨嗪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呋喃西林代谢物、氯霉素、五氯酚酸钠(以五氯酚计)、克伦特罗、莱克多巴胺、沙丁胺醇、恩诺沙星、甲氧苄啶</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恩诺沙星、莱克多巴胺、沙丁胺醇、克伦特罗</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镉(以Cd计)、恩诺沙星、克伦特罗、莱克多巴胺、沙丁胺醇、环丙氨嗪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其他畜副产品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呋喃西林代谢物、呋喃唑酮代谢物、五氯酚酸钠(以五氯酚计)、克伦特罗、莱克多巴胺、沙丁胺醇、氧氟沙星、诺氟沙星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禽副产品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呋喃唑酮代谢物、呋喃西林代谢物、氯霉素、五氯酚酸钠(以五氯酚计)、氧氟沙星、恩诺沙星、环丙氨嗪</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其他禽副产品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呋喃唑酮代谢物、呋喃西林代谢物、氯霉素、五氯酚酸钠(以五氯酚计)、氧氟沙星、诺氟沙星、恩诺沙星、环丙氨嗪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豆芽</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豆芽</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铅(以Pb计)、总汞(以Hg计)、4-氯苯氧乙酸钠(以4-氯苯氧乙酸计)、6-苄基腺嘌呤(6-BA)、亚硫酸盐(以SO2计)</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鲜食用菌</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鲜食用菌</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镉(以Cd计)、百菌清、除虫脲、氯氟氰菊酯和高效氯氟氰菊酯、氯氰菊酯和高效氯氰菊酯、咪鲜胺和咪鲜胺锰盐</w:t>
            </w:r>
          </w:p>
        </w:tc>
        <w:tc>
          <w:tcPr>
            <w:tcW w:w="62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鳞茎类蔬菜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韭菜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镉(以Cd计)、阿维菌素、毒死蜱、多菌灵、腐霉利、氯氟氰菊酯和高效氯氟氰菊酯、氯氰菊酯和高效氯氰菊酯、氧乐果</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葱</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铅（以Pb计）、镉（以Cd计）、毒死婢、甲拌磷、氯氟氰菊酯和高效氯氟氰菊酯、噻虫嗪、水胺硫磷、戊唑醇、氧乐果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芸薹属类蔬菜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结球甘蓝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毒死蜱、甲胺磷、甲基异柳磷、克百威、乐果、灭线磷、噻虫嗪、三唑磷</w:t>
            </w:r>
          </w:p>
        </w:tc>
        <w:tc>
          <w:tcPr>
            <w:tcW w:w="621"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菜薹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镉(以Cd计)、吡虫啉、啶虫脒、毒死蜱、氟虫腈、甲拌磷、联苯菊酯</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叶菜类蔬菜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菠菜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铅(以Pb计)、镉(以Cd计)、铬(以Cr计)、阿维菌素、毒死蜱、氟虫腈、氯氟氰菊酯和高效氯氟氰菊酯、氯氰菊酯和高效氯氰菊酯、氧乐果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大白菜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镉(以Cd计)、阿维菌素、吡虫啉、毒死蜱、氟虫腈、甲胺磷、甲拌磷、乐果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普通白菜（小白菜、小油菜、青菜）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镉(以Cd计)、阿维菌素、吡虫啉、啶虫脒、毒死蜱、氟虫腈、甲氨基阿维菌素苯甲酸盐、氯氟氰菊酯和高效氯氟氰菊酯、氧乐果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芹菜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铅（以Pb计）、镉（以Cd计）、苯醚甲环唑、毒死蜱、甲拌磷、腈菌唑、氯氟氰菊酯和高效氯氟氰菊酯、噻虫胺、氧乐果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油麦菜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阿维菌素、啶虫脒、毒死蜱、氟虫腈、甲氨基阿维菌素苯甲酸盐、腈菌唑、噻虫嗪、水胺硫磷、氧乐果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茄果类蔬菜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茄子</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镉(以Cd计)、毒死蜱、甲氨基阿维菌素苯甲酸盐、甲胺磷、甲拌磷、克百威、噻虫胺、噻虫嗪、氧乐果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辣椒</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镉(以Cd计)、倍硫磷、吡虫啉、啶虫脒、毒死蜱、甲氨基阿维菌素苯甲酸盐、甲拌磷、克百威、噻虫胺、噻虫嗪</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番茄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镉(以Cd计)、敌敌畏、毒死蜱、腐霉利、甲拌磷、氯氟氰菊酯和高效氯氟氰菊酯、噻虫嗪、烯酰吗啉</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甜椒</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镉(以Cd计)、阿维菌素、倍硫磷、吡虫啉、吡唑醚菌酯、毒死蜱、噻虫胺、噻虫嗪</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瓜类蔬菜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阿维菌素、哒螨灵、敌敌畏、毒死蜱、甲氨基阿维菌素苯甲酸盐、克百威、噻虫嗪、氧乐果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豆类蔬菜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豇豆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倍硫磷、啶虫脒、毒死蜱、氟虫腈、甲氨基阿维菌素苯甲酸盐、氯氟氰菊酯和高效氯氟氰菊酯、灭蝇胺、噻虫胺、噻虫嗪、氧乐果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菜豆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吡虫啉、毒死蜱、甲氨基阿维菌素苯甲酸盐、甲胺磷、灭蝇胺、噻虫胺、氧乐果、乙酰甲胺磷</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食荚豌豆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吡唑醚菌酯、毒死蜱、多菌灵、甲氨基阿维菌素苯甲酸盐、灭蝇胺、噻虫胺、噻虫嗪、氧乐果</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根茎类和</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薯芋类蔬</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山药</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铅(以Pb计)、毒死蜱、克百威、氯氟氰菊酯和高效氯氟氰菊酯、咪鲜胺和咪鲜胺锰盐、涕灭威</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胡萝卜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铅(以Pb计)、毒死蜱、氟虫腈、甲拌磷、氯氟氰菊酯和高效氯氟氰菊酯、噻虫胺、乙酰甲胺磷</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萝卜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铅（以Pb计）、毒死蜱、甲胺磷、甲拌磷、甲基对硫磷、乐果、氯氟氰菊酯和高效氯氟氰菊酯、噻虫嗪</w:t>
            </w:r>
          </w:p>
        </w:tc>
        <w:tc>
          <w:tcPr>
            <w:tcW w:w="6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铅(以Pb计)、毒死蜱、噻虫胺、噻虫嗪、吡虫啉、甲拌磷、克百威、氯氟氰菊酯和高效氯氟氰菊酯、氯氰菊酯和高效氯氰菊酯、氧乐果</w:t>
            </w: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镉（以Cd计）、孔雀石绿、氯霉素、氟苯尼考、恩诺沙星、甲氧苄啶、地西泮、五氯酚酸钠(以五氯酚计)、氧氟沙星</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镉(以Cd计)、孔雀石绿、呋喃唑酮代谢物、呋喃妥因代谢物、恩诺沙星、五氯酚酸钠(以五氯酚计)、氧氟沙星、诺氟沙星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镉(以Cd计)、孔雀石绿、氯霉素、五氯酚酸钠(以五氯酚计)、呋喃唑酮代谢物、氧氟沙星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挥发性盐基氮、镉(以Cd计)、孔雀石绿、呋喃唑酮代谢物、呋喃它酮代谢物、呋喃西林代谢物、恩诺沙星、五氯酚酸钠(以五氯酚计）</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海水虾</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挥发性盐基氮、镉(以Cd计)、二氧化硫残留量、孔雀石绿、氯霉素、呋喃唑酮代谢物、呋喃它酮代谢物、呋喃妥因代谢物</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海水蟹</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镉(以Cd计)、二氧化硫残留量、孔雀石绿、氯霉素、呋喃妥因代谢物、诺氟沙星</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贝类</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贝类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镉(以Cd计)、无机砷（以As计）、孔雀石绿、氯霉素、氟苯尼考、呋喃唑酮代谢物、呋喃西林代谢物、呋喃妥因代谢物</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其他水产品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其他水产品（重点 品种：牛蛙）</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w:t>
            </w:r>
            <w:r>
              <w:rPr>
                <w:rFonts w:hint="default" w:ascii="Times New Roman" w:hAnsi="Times New Roman" w:eastAsia="宋体" w:cs="Times New Roman"/>
                <w:i w:val="0"/>
                <w:iCs w:val="0"/>
                <w:color w:val="000000"/>
                <w:kern w:val="0"/>
                <w:sz w:val="18"/>
                <w:szCs w:val="18"/>
                <w:u w:val="none"/>
                <w:lang w:val="en-US" w:eastAsia="zh-CN" w:bidi="ar"/>
              </w:rPr>
              <w:t>b</w:t>
            </w:r>
            <w:r>
              <w:rPr>
                <w:rFonts w:hint="eastAsia" w:ascii="Times New Roman" w:hAnsi="Times New Roman" w:eastAsia="宋体" w:cs="Times New Roman"/>
                <w:i w:val="0"/>
                <w:iCs w:val="0"/>
                <w:color w:val="000000"/>
                <w:kern w:val="0"/>
                <w:sz w:val="18"/>
                <w:szCs w:val="18"/>
                <w:u w:val="none"/>
                <w:lang w:val="en-US" w:eastAsia="zh-CN" w:bidi="ar"/>
              </w:rPr>
              <w:t>、孔雀石绿、氯霉素、呋喃唑酮代谢物、呋喃西林代谢物、呋喃妥因代谢物、恩诺沙星</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Times New Roman" w:hAnsi="Times New Roman" w:eastAsia="宋体" w:cs="Times New Roman"/>
                <w:i w:val="0"/>
                <w:iCs w:val="0"/>
                <w:color w:val="000000"/>
                <w:kern w:val="0"/>
                <w:sz w:val="18"/>
                <w:szCs w:val="18"/>
                <w:u w:val="none"/>
                <w:lang w:val="en-US" w:eastAsia="zh-CN" w:bidi="ar"/>
              </w:rPr>
              <w:t>、氧氟沙星、诺氟沙星a.仅蛙科、鳖科食品动物检测b.限头足类、腹足类、棘皮类检测。</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水果类</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仁果类水 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苹果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敌敌畏、啶虫脒、毒死蜱、甲拌磷、克百威、氧乐果、三氯杀螨醇</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梨</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敌敌畏、毒死蜱、多菌灵、克百威、氯氟氰菊酯和高效氯氟氰菊酯、氧乐果、苯醚甲环唑、咪鲜胺和咪鲜胺锰盐</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核果类水果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枣</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多菌灵、氟虫腈、氰戊菊酯和S-氰戊菊酯、氧乐果、糖精钠(以糖精计)</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桃</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苯醚甲环唑、敌敌畏、多菌灵、氟硅唑、甲胺磷、克百威、氧乐果、溴氰菊酯、吡虫啉</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油桃</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多菌灵、甲胺磷、克百威、氧乐果、敌敌畏、苯醚甲环唑、噻虫胺</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柑橘类水果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柑、橘</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苯醚甲环唑、丙溴磷、克百威、联苯菊酯、三唑磷、水胺硫磷、氯氟氰菊酯和高效氯氟氰菊酯、甲拌磷、2,4-滴和2,4-滴钠盐</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柚</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水胺硫磷、联苯菊酯、氯氟氰菊酯和高效氯氟氰菊酯、氯唑磷、多菌灵、克百威</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柠檬</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多菌灵、克百威、联苯菊酯、水胺硫磷、乙螨唑、氯唑磷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橙</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丙溴磷、克百威、联苯菊酯、三唑磷、水胺硫磷、2,4-滴和2,4-滴钠盐、苯醚甲环唑、氯唑磷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浆果和其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他小型水</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葡萄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苯醚甲环唑、己唑醇、克百威、氯氰菊酯和高效氯氰菊酯、霜霉威和霜霉威盐酸盐、氧乐果、氯氟氰菊酯和高效氯氟氰菊酯、氯吡脲</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草莓</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阿维菌素、敌敌畏、多菌灵、克百威、烯酰吗啉、氧乐果、戊菌唑、吡虫啉、乙酰甲胺磷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桑葚</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脱氢乙酸及其钠盐（以脱氢乙酸计）、苯甲酸及其钠盐（以苯甲酸计）、山梨酸及其钾盐（以山梨酸计）、糖精钠（以糖精计）、三氯蔗糖、甜蜜素(以环已基氨基</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磺酸计)、多菌灵</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猕猴桃</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敌敌畏、多菌灵、氯吡脲、氧乐果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热带和亚热带水果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香蕉</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苯醚甲环唑、吡唑醚菌酯、多菌灵、氟虫腈、甲拌磷、腈苯唑、吡虫啉、噻虫胺、噻虫嗪、百菌清</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芒果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苯醚甲环唑、多菌灵、戊唑醇、氧乐果、吡唑醚菌酯、噻虫胺、乙酰甲胺磷、吡虫啉</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火龙果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氟虫腈、甲胺磷、克百威、氧乐果、乙酰甲胺磷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荔枝</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多菌灵、氧乐果、毒死蜱、苯醚甲环唑、氯氰菊酯和高效氯氰菊酯、氯氟氰菊酯和高效氯氟氰菊酯、吡唑醚菌酯、除虫脲</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杨梅</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脱氢乙酸及其钠盐（以脱氢乙酸计）、苯甲酸及其钠盐（以苯甲酸计）、山梨酸及其钾盐（以山梨酸计）、糖精钠（以糖精计）、三氯蔗糖、甜蜜素(以环已基氨基磺酸计)、敌敌畏、氧乐果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龙眼</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二氧化硫残留量、克百威、氯氰菊酯和高效氯氰菊酯、氧乐果</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橄榄</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三氯蔗糖、糖精钠（以糖精计）、甜蜜素(以环已基氨基磺酸计)、多菌灵</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番木瓜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噻虫胺、噻虫嗪、乙酰甲胺磷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瓜果类水果</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西瓜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克百威、噻虫嗪、氧乐果、乙酰甲胺磷、苯醚甲环唑</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甜瓜类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克百威、烯酰吗啉、氧乐果、乙酰甲胺磷</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鲜蛋</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鲜蛋</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鸡蛋</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甲硝唑、地美硝唑、氟虫腈、氟苯尼考、甲砜霉素、恩诺沙星、氧氟沙星、甲氧苄啶、多西环素</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其他禽蛋</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呋喃唑酮代谢物、磺胺类（总量）、多西环素</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铅(以Pb计)、铬(以Cr计)、赭曲霉毒素A、吡虫啉、环丙唑醇</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与籽类食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与籽类食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酸价(以脂肪计)（KOH）、过氧化值(以脂肪计)、铅(以Pb计)、吡虫啉</w:t>
            </w:r>
          </w:p>
        </w:tc>
        <w:tc>
          <w:tcPr>
            <w:tcW w:w="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生干籽类</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酸价(以脂肪计)（KOH）、过氧化值(以脂肪计)、铅(以Pb计)、镉(以Cd计)、黄曲霉毒素B</w:t>
            </w: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、噻虫嗪</w:t>
            </w:r>
          </w:p>
        </w:tc>
        <w:tc>
          <w:tcPr>
            <w:tcW w:w="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jc w:val="center"/>
        </w:trPr>
        <w:tc>
          <w:tcPr>
            <w:tcW w:w="79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合计</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416</w:t>
            </w:r>
          </w:p>
        </w:tc>
      </w:tr>
    </w:tbl>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6"/>
          <w:szCs w:val="36"/>
          <w:lang w:val="en-US" w:eastAsia="zh-CN"/>
        </w:rPr>
      </w:pPr>
    </w:p>
    <w:p>
      <w:pPr>
        <w:rPr>
          <w:rFonts w:hint="eastAsia"/>
          <w:b/>
          <w:bCs/>
          <w:color w:val="000000"/>
          <w:kern w:val="0"/>
          <w:sz w:val="32"/>
          <w:szCs w:val="32"/>
          <w:lang w:val="en-US" w:eastAsia="zh-CN"/>
        </w:rPr>
      </w:pPr>
      <w:r>
        <w:rPr>
          <w:rFonts w:hint="eastAsia"/>
          <w:b/>
          <w:bCs/>
          <w:color w:val="000000"/>
          <w:kern w:val="0"/>
          <w:sz w:val="32"/>
          <w:szCs w:val="32"/>
          <w:lang w:val="en-US" w:eastAsia="zh-CN"/>
        </w:rPr>
        <w:br w:type="page"/>
      </w:r>
    </w:p>
    <w:p>
      <w:pPr>
        <w:pStyle w:val="16"/>
        <w:jc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b/>
          <w:bCs/>
          <w:color w:val="000000"/>
          <w:kern w:val="0"/>
          <w:sz w:val="32"/>
          <w:szCs w:val="32"/>
          <w:lang w:val="en-US" w:eastAsia="zh-CN"/>
        </w:rPr>
        <w:t>2024年太原市迎泽区市场监督管理局包4监督抽检任务表</w:t>
      </w:r>
    </w:p>
    <w:tbl>
      <w:tblPr>
        <w:tblStyle w:val="31"/>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2"/>
        <w:gridCol w:w="917"/>
        <w:gridCol w:w="1076"/>
        <w:gridCol w:w="1015"/>
        <w:gridCol w:w="1056"/>
        <w:gridCol w:w="641"/>
        <w:gridCol w:w="2801"/>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序号</w:t>
            </w:r>
          </w:p>
        </w:tc>
        <w:tc>
          <w:tcPr>
            <w:tcW w:w="917"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食品大类(一级)</w:t>
            </w:r>
          </w:p>
        </w:tc>
        <w:tc>
          <w:tcPr>
            <w:tcW w:w="107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食品亚类(二级)</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食品品种(三级)</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食品细类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(四级)</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风险等级</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抽检项目</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c>
          <w:tcPr>
            <w:tcW w:w="91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粮食加工品</w:t>
            </w:r>
          </w:p>
        </w:tc>
        <w:tc>
          <w:tcPr>
            <w:tcW w:w="107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大米</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大米</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大米</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铅（以Pb计）、镉（以Cd计）、无机砷（以As计）、苯并[a]芘、黄曲霉毒素B1、赭曲霉毒素A</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小麦粉</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小麦粉</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小麦粉</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镉（以Cd计）、苯并[a]芘、玉米赤霉烯酮、脱氧雪腐镰刀菌烯醇、赭曲霉毒素A、黄曲霉毒素B1、偶氮甲酰胺、过氧化苯甲酰</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挂面</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挂面</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挂面</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铅（以Pb计）、黄曲霉毒素B1、脱氢乙酸及其钠盐（以脱氢乙酸计）、合成着色剂（柠檬黄、日落黄）</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其他粮食加工品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谷物加工品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谷物加工品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 Pb 计）、镉（以Cd计）、黄曲霉毒素B1、赭曲霉毒素A</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谷物碾磨加工品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玉米粉(片、渣)</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苯并[a]芘、黄曲霉毒素B1、赭曲霉毒素A、玉米赤霉烯酮、脱氧雪腐镰刀菌烯醇</w:t>
            </w:r>
          </w:p>
        </w:tc>
        <w:tc>
          <w:tcPr>
            <w:tcW w:w="71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米粉</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铅（以Pb计）、镉（以Cd计）、总汞（以Hg计）、无机砷（以As计）、苯并[a]芘</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其他谷物碾磨加工品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铅（以Pb计）、铬（以Cr计）、赭曲霉毒素A</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谷物粉类制成品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生湿面制品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铅（以Pb计）、苯甲酸及其钠盐（以苯甲酸计）、山梨酸及其钾盐（以山梨酸计）、脱氢乙酸及其钠盐（以脱氢乙酸计）、二氧化硫残留量、柠檬黄</w:t>
            </w:r>
          </w:p>
        </w:tc>
        <w:tc>
          <w:tcPr>
            <w:tcW w:w="71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发酵面制品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糖精钠（以糖精计）、甜蜜素（以环己基氨基磺酸计）、安赛蜜、合成着色剂（柠檬黄、胭脂红）、菌落总数、大肠菌群、沙门氏菌、金黄色葡萄球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米粉制品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苯甲酸及其钠盐（以苯甲酸计）、山梨酸及其钾盐（以山梨酸计）、脱氢乙酸及其钠盐（以脱氢乙酸计）、二氧化硫残留量、菌落总数、大肠菌群、沙门氏菌、金黄色葡萄球菌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其他谷物粉类制成品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黄曲霉毒素B1、苯甲酸及其钠盐（以苯甲酸计）、山梨酸及其钾盐（以山梨酸计）、脱氢乙酸及其钠盐（以脱氢乙酸计）、菌落总数、大肠菌群、沙门氏菌、金黄色葡萄球菌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c>
          <w:tcPr>
            <w:tcW w:w="91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食用油、</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油脂及其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制品</w:t>
            </w:r>
          </w:p>
        </w:tc>
        <w:tc>
          <w:tcPr>
            <w:tcW w:w="107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食用植物油</w:t>
            </w: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食用植物油(半精炼、全精炼)</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花生油</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酸值/酸价、过氧化值、黄曲霉毒素B1、铅(以Pb计)、苯并[a]芘、溶剂残留量、特丁基对苯二酚(TBHQ)</w:t>
            </w:r>
          </w:p>
        </w:tc>
        <w:tc>
          <w:tcPr>
            <w:tcW w:w="71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玉米油</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酸值/酸价、过氧化值、铅(以Pb计)、黄曲霉毒素B1、苯并[a]芘、特丁基对苯二酚(TBHQ)</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芝麻油</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酸值/酸价、过氧化值、铅(以Pb计)、苯并[a]芘、溶剂残留量、乙基麦芽酚</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橄榄油、油橄榄果渣油</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酸值/酸价、过氧化值、铅(以Pb计)、溶剂残留量、特丁基对苯二酚(TBHQ)</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菜籽油</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酸值/酸价、过氧化值、铅(以Pb计)、苯并[a]芘、溶剂残留量、特丁基对苯二酚(TBHQ)、乙基麦芽酚</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大豆油</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酸值/酸价、过氧化值、铅(以Pb计)、苯并[a]芘、溶剂残留量、特丁基对苯二酚(TBHQ)</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食用植物调和油</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酸价、过氧化值、铅(以Pb计)、苯并[a]芘、溶剂残留量、特丁基对苯二酚(TBHQ)、乙基麦芽酚</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其他食用植</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物油(半精</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炼、全精</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炼)</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酸值/酸价、过氧化值、铅(以Pb计)、苯并[al芘、溶剂残留量、特丁基对苯二酚(TBHQ)</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68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c>
          <w:tcPr>
            <w:tcW w:w="91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调味品</w:t>
            </w:r>
          </w:p>
        </w:tc>
        <w:tc>
          <w:tcPr>
            <w:tcW w:w="107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酱油</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酱油</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酱油</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氨基酸态氮、全氮（以氮计）、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三氯蔗糖、甜蜜素（以环己基氨基磺酸计）、菌落总数、大肠菌群</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食醋</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食醋</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食醋</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酸（以乙酸计）、不挥发酸（以乳酸计）、苯甲酸及其钠盐（以苯甲酸计）、山梨酸及其钾盐（以山梨酸计）、脱氢乙酸及其钠盐（以脱氢乙酸计）、对羟基苯甲酸酯类及其钠盐（以对羟基苯甲酸计）、防腐剂混合使用时各自用量占其最大使用量的比例之和、糖精钠（以糖精计）、三氯蔗糖、甜蜜素（以环己基氨基磺酸计）、菌落总数</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酱类</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酿造酱</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黄豆酱、甜面酱等</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氨基酸态氮、黄曲霉毒素B1、苯甲酸及其钠盐（以苯甲酸计）、山梨酸及其钾盐（以山梨酸计）、脱氢乙酸及其钠盐（以脱氢乙酸计）、防腐剂混合使用时各自用量占其最大使用量的比例之和、糖精钠（以糖精计）、三氯蔗糖、甜蜜素（以环己基氨基磺酸计）、安赛蜜、大肠菌群</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调味料酒</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调味料酒</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料酒</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氨基酸态氮（以氮计）、苯甲酸及其钠盐（以苯甲酸计）、山梨酸及其钾盐（以山梨酸计）、脱氢乙酸及其钠盐（以脱氢乙酸计）、糖精钠（以糖精计）、甜蜜素（以环己基氨基磺酸计）、三氯蔗糖</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香辛料类</w:t>
            </w: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香辛料类</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香辛料调味油</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酸价/酸值、过氧化值、铅(以Pb计)</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辣椒、花椒</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、辣椒粉、</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花椒粉</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铅（以Pb计）、罗丹明B、苏丹红Ⅰ、苏丹红Ⅱ、苏丹用Ⅲ、苏丹红Ⅳ、脱氢乙酸及其钠盐（以脱氢乙酸计）、二氧化硫残留量、合成着色剂（柠檬黄、日落黄、胭脂红）、沙门氏菌</w:t>
            </w:r>
          </w:p>
        </w:tc>
        <w:tc>
          <w:tcPr>
            <w:tcW w:w="71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其他香辛料调味品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脱氢乙酸及其钠盐（以脱氢乙酸计）、二氧化硫残留量、甜蜜素（以环己基氨基磺酸计）、合成着色剂（柠檬黄、日落黄、苋菜红、胭脂红、亮蓝）、丙溴磷、氯氰菊酯和高效氯氰菊酯、多菌灵、沙门氏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w:t>
            </w: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固体复合调味料</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鸡粉、鸡精调味料</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谷氨酸钠、呈味核苷酸二钠、铅（以Pb计）、糖精钠（以糖精计）、甜蜜素（以环己基氨基磺酸计）、菌落总数、大肠菌群</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其他固体调味料</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苏丹红Ⅰ、苏丹红Ⅱ、苏丹用Ⅲ、苏丹红Ⅳ、罂粟碱、吗啡、可待因、那可丁、苯甲酸及其钠盐（以苯甲酸计）、山梨酸及其钾盐（以山梨酸计）、脱氢乙酸及其钠盐（以脱氢乙酸计）、防腐剂混合使用时各自用量占其最大使用量的比例之和、糖精钠（以糖精计）、甜蜜素（以环己基氨基磺酸计）、安赛蜜、阿斯巴甜、二氧化硫残留量</w:t>
            </w:r>
          </w:p>
        </w:tc>
        <w:tc>
          <w:tcPr>
            <w:tcW w:w="71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6040"/>
                  <wp:effectExtent l="0" t="0" r="0" b="10160"/>
                  <wp:wrapNone/>
                  <wp:docPr id="16" name="图片_1"/>
                  <wp:cNvGraphicFramePr/>
                  <a:graphic xmlns:a="http://schemas.openxmlformats.org/drawingml/2006/main">
                    <a:graphicData uri="http://schemas.openxmlformats.org/drawingml/2006/picture">
                      <pic:pic xmlns:pic="http://schemas.openxmlformats.org/drawingml/2006/picture">
                        <pic:nvPicPr>
                          <pic:cNvPr id="16" name="图片_1"/>
                          <pic:cNvPicPr/>
                        </pic:nvPicPr>
                        <pic:blipFill>
                          <a:blip r:embed="rId10"/>
                          <a:stretch>
                            <a:fillRect/>
                          </a:stretch>
                        </pic:blipFill>
                        <pic:spPr>
                          <a:xfrm>
                            <a:off x="0" y="0"/>
                            <a:ext cx="76200" cy="66040"/>
                          </a:xfrm>
                          <a:prstGeom prst="rect">
                            <a:avLst/>
                          </a:prstGeom>
                          <a:noFill/>
                          <a:ln>
                            <a:noFill/>
                          </a:ln>
                        </pic:spPr>
                      </pic:pic>
                    </a:graphicData>
                  </a:graphic>
                </wp:anchor>
              </w:drawing>
            </w:r>
            <w:r>
              <w:rPr>
                <w:rFonts w:hint="eastAsia" w:ascii="Times New Roman" w:hAnsi="Times New Roman" w:eastAsia="宋体" w:cs="Times New Roman"/>
                <w:i w:val="0"/>
                <w:iCs w:val="0"/>
                <w:color w:val="000000"/>
                <w:kern w:val="0"/>
                <w:sz w:val="18"/>
                <w:szCs w:val="18"/>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6040"/>
                  <wp:effectExtent l="0" t="0" r="0" b="10160"/>
                  <wp:wrapNone/>
                  <wp:docPr id="17" name="图片_1_SpCnt_1"/>
                  <wp:cNvGraphicFramePr/>
                  <a:graphic xmlns:a="http://schemas.openxmlformats.org/drawingml/2006/main">
                    <a:graphicData uri="http://schemas.openxmlformats.org/drawingml/2006/picture">
                      <pic:pic xmlns:pic="http://schemas.openxmlformats.org/drawingml/2006/picture">
                        <pic:nvPicPr>
                          <pic:cNvPr id="17" name="图片_1_SpCnt_1"/>
                          <pic:cNvPicPr/>
                        </pic:nvPicPr>
                        <pic:blipFill>
                          <a:blip r:embed="rId10"/>
                          <a:stretch>
                            <a:fillRect/>
                          </a:stretch>
                        </pic:blipFill>
                        <pic:spPr>
                          <a:xfrm>
                            <a:off x="0" y="0"/>
                            <a:ext cx="76200" cy="66040"/>
                          </a:xfrm>
                          <a:prstGeom prst="rect">
                            <a:avLst/>
                          </a:prstGeom>
                          <a:noFill/>
                          <a:ln>
                            <a:noFill/>
                          </a:ln>
                        </pic:spPr>
                      </pic:pic>
                    </a:graphicData>
                  </a:graphic>
                </wp:anchor>
              </w:drawing>
            </w:r>
            <w:r>
              <w:rPr>
                <w:rFonts w:hint="eastAsia" w:ascii="Times New Roman" w:hAnsi="Times New Roman" w:eastAsia="宋体" w:cs="Times New Roman"/>
                <w:i w:val="0"/>
                <w:iCs w:val="0"/>
                <w:color w:val="000000"/>
                <w:kern w:val="0"/>
                <w:sz w:val="18"/>
                <w:szCs w:val="18"/>
                <w:u w:val="none"/>
                <w:lang w:val="en-US" w:eastAsia="zh-CN" w:bidi="ar"/>
              </w:rPr>
              <w:t>3</w:t>
            </w:r>
          </w:p>
        </w:tc>
        <w:tc>
          <w:tcPr>
            <w:tcW w:w="91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调味品</w:t>
            </w:r>
          </w:p>
        </w:tc>
        <w:tc>
          <w:tcPr>
            <w:tcW w:w="107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w:t>
            </w: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半体复合调味料</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蛋黄酱、沙拉酱</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二氧化钛</w:t>
            </w:r>
          </w:p>
        </w:tc>
        <w:tc>
          <w:tcPr>
            <w:tcW w:w="71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坚果与籽类的泥(酱)</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酸价/酸值、过氧化值、铅(以Pb计)、黄曲霉毒素B1</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辣椒酱</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防腐剂混合使用时各自用量占其最大使用量的比例之和、甜蜜素（以环己基氨基磺酸计）、二氧化硫残留量</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火锅底料、麻辣烫底料</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罂粟碱、吗啡、可待因、那可丁、苯甲酸及其钠盐（以苯甲酸计）、山梨酸及其钾盐（以山梨酸计）、脱氢乙酸及其钠盐（以脱氢乙酸计）、防腐剂混合使用时各自用量占其最大使用量的比例之和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其他半固体调味料</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罗丹明B、罂粟碱、吗啡、可待因、那可丁、苯甲酸及其钠盐（以苯甲酸计）、山梨酸及其钾盐（以山梨酸计）、脱氢乙酸及其钠盐（以脱氢乙酸计）、防腐剂混合使用时各自用量占其最大使用量的比例之和、甜蜜素（以环己基氨基磺酸计）、安赛蜜</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液体复合调味料</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蚝油、虾油、鱼露</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氨基酸态氮、苯甲酸及其钠盐（以苯甲酸计）、山梨酸及其钾盐（以山梨酸计）、脱氢乙酸及其钠盐（以脱氢乙酸计）、防腐剂混合使用时各自用量占其最大使用量的比例之和、菌落总数、大肠菌群</w:t>
            </w:r>
          </w:p>
        </w:tc>
        <w:tc>
          <w:tcPr>
            <w:tcW w:w="71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其他液体调味料</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防腐剂混合使用时各自用量占其最大使用量的比例之和、糖精钠（以糖精计）、甜蜜素（以环己基氨基磺酸计）、合成着色剂（柠檬黄、日落黄、胭脂红、诱惑红）、相同色泽着色剂混合使用时各自用量占其最大使用量的比例之和、菌落总数</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味精</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味精</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味精</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谷氨酸钠</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食盐</w:t>
            </w: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食用盐</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普通食用盐</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氯化钠、钡(以Ba计)、碘(以I计)、铅(以Pb计)、总砷(以As计)、镉(以Cd计)、总汞(以Hg计)、亚铁氰化钾/亚铁氰化钠(以亚铁氰根计)</w:t>
            </w:r>
          </w:p>
        </w:tc>
        <w:tc>
          <w:tcPr>
            <w:tcW w:w="71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低钠食用盐</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氯化钾、钡(以Ba计)、碘(以I计)、铅(以Pb计)、总砷(以As计)、镉(以Cd计)、总汞(以Hg计)、亚铁氰化钾/亚铁氰化钠(以亚铁氰根计)</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c>
          <w:tcPr>
            <w:tcW w:w="91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肉制品</w:t>
            </w:r>
          </w:p>
        </w:tc>
        <w:tc>
          <w:tcPr>
            <w:tcW w:w="107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预制肉制品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调理肉制品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调理肉制品(非速冻)</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铅（以Pb计）、苯甲酸及其钠盐（以苯甲酸计）、山梨酸及其钾盐（以山梨酸计）、脱氢乙酸及其钠盐（以脱氢乙酸计）、氯霉素</w:t>
            </w:r>
          </w:p>
        </w:tc>
        <w:tc>
          <w:tcPr>
            <w:tcW w:w="71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腌腊肉制品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腌腊肉制品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过氧化值（以脂肪计）、铅（以Pb计）、总砷（以As计）、亚硝酸盐（以亚硝酸钠计）、苯甲酸及其钠盐（以苯甲酸计）、山梨酸及其钾盐（以山梨酸计）、胭脂红、诱惑红、苋菜红、酸性红、氯霉素</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熟肉制品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发酵肉制品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发酵肉制品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亚硝酸盐（以亚硝酸钠计）、纳他霉素、氯霉素、大肠菌群、沙门氏菌、金黄色葡萄球菌、单核细胞增生李斯特氏菌、致泻大肠埃希氏菌</w:t>
            </w:r>
          </w:p>
        </w:tc>
        <w:tc>
          <w:tcPr>
            <w:tcW w:w="71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酱卤肉制品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酱卤肉制品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铬（以Cr计）、总砷（以As计）、N-二甲基亚硝胺、亚硝酸盐（以亚硝酸钠计）、苯甲酸及其钠盐（以苯甲酸计）、山梨酸及其钾盐（以山梨酸计）、脱氢乙酸及其钠盐（以脱氢乙酸计）、纳他霉素、防腐剂混合使用时各自用量占其最大使用量的比例之和、柠檬黄、日落黄、胭脂红、糖精钠（以糖精计）、氯霉素、酸性橙Ⅱ、菌落总数、大肠菌群、沙门氏菌、金黄色葡萄球菌、单核细胞增生李斯特氏菌、致泻大肠埃希氏菌、商业无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油炸肉制品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油炸肉制品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N-二甲基亚硝胺、亚硝酸盐（以亚硝酸钠计）、苯甲酸及其钠盐（以苯甲酸计）、山梨酸及其钾盐（以山梨酸计）、沙门氏菌、金黄色葡萄球菌、单核细胞增生李斯特氏菌、致泻大肠埃希氏菌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熟肉干制品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熟肉干制品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铬（以Cr计）、N-二甲基亚硝胺、苯甲酸及其钠盐（以苯甲酸计）、山梨酸及其钾盐（以山梨酸计）、脱氢乙酸及其钠盐（以脱氢乙酸计）、防腐剂混合使用时各自用量占其最大使用量的比例之和、胭脂红、氯霉素、菌落总数、大肠菌群、沙门氏菌、金黄色葡萄球菌、单核细胞增生李斯特氏菌、致泻大肠埃希氏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熏烧烤肉制品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熏烧烤肉制品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并[a]芘、N-二甲基亚硝胺、亚硝酸盐（以亚硝酸钠计）、苯甲酸及其钠盐（以苯甲酸计）、山梨酸及其钾盐（以山梨酸计）、纳他霉素、糖精钠（以糖精计）、柠檬黄、日落黄、胭脂红、氯霉素、菌落总数、大肠菌群、沙门氏菌、金黄色葡萄球菌、单核细胞增生李斯特氏菌、致泻大肠埃希氏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熏煮香肠火腿制品</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熏煮香肠火腿制品</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亚硝酸盐（以亚硝酸钠计）、苯甲酸及其钠盐（以苯甲酸计）、山梨酸及其钾盐（以山梨酸计）、脱氢乙酸及其钠盐（以脱氢乙酸计）、纳他霉素、防腐剂混合使用时各自用量占其最大使用量的比例之和、胭脂红、诱惑红、氯霉素、菌落总数、大肠菌群、沙门氏菌、金黄色葡萄球菌、单核细胞增生李斯特氏菌、致泻大肠埃希氏菌</w:t>
            </w:r>
          </w:p>
        </w:tc>
        <w:tc>
          <w:tcPr>
            <w:tcW w:w="71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8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c>
          <w:tcPr>
            <w:tcW w:w="91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乳制品</w:t>
            </w:r>
          </w:p>
        </w:tc>
        <w:tc>
          <w:tcPr>
            <w:tcW w:w="1076"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乳制品</w:t>
            </w: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液体乳</w:t>
            </w: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巴氏杀菌乳</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蛋白质、酸度、三聚氰胺、铅（以Pb计）、丙二醇、沙门氏菌、金黄色葡萄球菌、菌落总数、大肠菌群</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1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76"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灭菌乳</w:t>
            </w:r>
          </w:p>
        </w:tc>
        <w:tc>
          <w:tcPr>
            <w:tcW w:w="64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80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蛋白质、非脂乳固体、酸度、脂肪、三聚氰胺、铅（以Pb计）、丙二醇、商业无菌</w:t>
            </w:r>
          </w:p>
        </w:tc>
        <w:tc>
          <w:tcPr>
            <w:tcW w:w="71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jc w:val="center"/>
        </w:trPr>
        <w:tc>
          <w:tcPr>
            <w:tcW w:w="8188" w:type="dxa"/>
            <w:gridSpan w:val="7"/>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合计</w:t>
            </w:r>
          </w:p>
        </w:tc>
        <w:tc>
          <w:tcPr>
            <w:tcW w:w="71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244</w:t>
            </w:r>
          </w:p>
        </w:tc>
      </w:tr>
    </w:tbl>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6"/>
          <w:szCs w:val="36"/>
          <w:lang w:val="en-US" w:eastAsia="zh-CN"/>
        </w:rPr>
      </w:pPr>
    </w:p>
    <w:p>
      <w:pPr>
        <w:rPr>
          <w:rFonts w:hint="eastAsia"/>
          <w:b/>
          <w:bCs/>
          <w:color w:val="000000"/>
          <w:kern w:val="0"/>
          <w:sz w:val="32"/>
          <w:szCs w:val="32"/>
          <w:lang w:val="en-US" w:eastAsia="zh-CN"/>
        </w:rPr>
      </w:pPr>
      <w:r>
        <w:rPr>
          <w:rFonts w:hint="eastAsia"/>
          <w:b/>
          <w:bCs/>
          <w:color w:val="000000"/>
          <w:kern w:val="0"/>
          <w:sz w:val="32"/>
          <w:szCs w:val="32"/>
          <w:lang w:val="en-US" w:eastAsia="zh-CN"/>
        </w:rPr>
        <w:br w:type="page"/>
      </w:r>
    </w:p>
    <w:p>
      <w:pPr>
        <w:pStyle w:val="16"/>
        <w:jc w:val="center"/>
        <w:rPr>
          <w:rFonts w:hint="eastAsia"/>
          <w:b/>
          <w:bCs/>
          <w:color w:val="000000"/>
          <w:kern w:val="0"/>
          <w:sz w:val="32"/>
          <w:szCs w:val="32"/>
          <w:lang w:val="en-US" w:eastAsia="zh-CN"/>
        </w:rPr>
      </w:pPr>
      <w:r>
        <w:rPr>
          <w:rFonts w:hint="eastAsia"/>
          <w:b/>
          <w:bCs/>
          <w:color w:val="000000"/>
          <w:kern w:val="0"/>
          <w:sz w:val="32"/>
          <w:szCs w:val="32"/>
          <w:lang w:val="en-US" w:eastAsia="zh-CN"/>
        </w:rPr>
        <w:t>2024年太原市迎泽区市场监督管理局包5监督抽检任务表</w:t>
      </w:r>
    </w:p>
    <w:tbl>
      <w:tblPr>
        <w:tblStyle w:val="3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00"/>
        <w:gridCol w:w="1002"/>
        <w:gridCol w:w="977"/>
        <w:gridCol w:w="1015"/>
        <w:gridCol w:w="1171"/>
        <w:gridCol w:w="705"/>
        <w:gridCol w:w="2559"/>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0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序号</w:t>
            </w:r>
          </w:p>
        </w:tc>
        <w:tc>
          <w:tcPr>
            <w:tcW w:w="100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食品大类(一级)</w:t>
            </w:r>
          </w:p>
        </w:tc>
        <w:tc>
          <w:tcPr>
            <w:tcW w:w="977"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食品亚类(二级)</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食品品种(三级)</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食品细类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(四级)</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风险等级</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抽检项目</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c>
          <w:tcPr>
            <w:tcW w:w="100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乳制品</w:t>
            </w:r>
          </w:p>
        </w:tc>
        <w:tc>
          <w:tcPr>
            <w:tcW w:w="97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乳制品</w:t>
            </w: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液体乳</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发酵乳</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脂肪、蛋白质、酸度、乳酸菌数、山梨酸及其钾盐（以山梨酸计）、三聚氰胺、铅（以Pb计）、金黄色葡萄球菌、沙门氏菌、大肠菌群、酵母、霉菌</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高温杀菌乳</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蛋白质、酸度、三聚氰胺、沙门氏菌、菌落总数、大肠菌群</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调制乳</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蛋白质、三聚氰胺、铅（以Pb计）、商业无菌、菌落总数、大肠菌群</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乳粉</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全脂乳粉、脱脂乳粉、部分脱脂乳粉、调制乳粉</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蛋白质、脂肪、三聚氰胺、铅（以Pb计）、菌落总数、大肠菌群</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6</w:t>
            </w:r>
          </w:p>
        </w:tc>
        <w:tc>
          <w:tcPr>
            <w:tcW w:w="100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饮料</w:t>
            </w:r>
          </w:p>
        </w:tc>
        <w:tc>
          <w:tcPr>
            <w:tcW w:w="97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饮料</w:t>
            </w: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包装饮用水</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饮用天然矿泉水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界限指标、铅（以Pb计）、总砷（以As计）、镉（以Cd计）、总汞（以Hg计）、镍、溴酸盐、硝酸盐（以NO3-计）、亚硝酸盐（以NO2-计）、大肠菌群、铜绿假单胞菌</w:t>
            </w:r>
          </w:p>
        </w:tc>
        <w:tc>
          <w:tcPr>
            <w:tcW w:w="5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饮用纯净水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电导率、耗氧量（以O2计）、铅（以Pb计）、总砷（以As计）、镉（以Cd计）、亚硝酸盐（以NO2-计）、余氯（游离氯）、溴酸盐、三氯甲烷、大肠菌群、铜绿假单胞菌</w:t>
            </w:r>
          </w:p>
        </w:tc>
        <w:tc>
          <w:tcPr>
            <w:tcW w:w="59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其他类饮用水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耗氧量（以O2计）、铅（以Pb计）、总砷（以As计）、镉（以Cd计）、亚硝酸盐（以NO2-计）、余氯（游离氯）、溴酸盐、三氯甲烷、大肠菌群、铜绿假单胞菌</w:t>
            </w:r>
          </w:p>
        </w:tc>
        <w:tc>
          <w:tcPr>
            <w:tcW w:w="59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果蔬汁类及其饮料</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果蔬汁类及其饮料</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展青霉素、苯甲酸及其钠盐（以苯甲酸计）、山梨酸及其钾盐（以山梨酸计）、脱氢乙酸及其钠盐（以脱氢乙酸计）、防腐剂混合使用时各自用量占其最大使用量的比例之和、安赛蜜、甜蜜素（以环己基氨基磺酸计）、合成着色剂（苋菜红、胭脂红、柠檬黄、日落黄、亮蓝）、菌落总数、大肠菌群、霉菌、酵母</w:t>
            </w:r>
          </w:p>
        </w:tc>
        <w:tc>
          <w:tcPr>
            <w:tcW w:w="59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6</w:t>
            </w:r>
          </w:p>
        </w:tc>
        <w:tc>
          <w:tcPr>
            <w:tcW w:w="100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饮料</w:t>
            </w:r>
          </w:p>
        </w:tc>
        <w:tc>
          <w:tcPr>
            <w:tcW w:w="97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饮料</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蛋白饮料</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蛋白饮料</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乳酸菌数、三聚氰胺、苯甲酸及其钠盐（以苯甲酸计）、山梨酸及其钾盐（以山梨酸计）、脱氢乙酸及其钠盐（以脱氢乙酸计）、防腐剂混合使用时各自用量占其最大使用量的比例之和、菌落总数、大肠菌群、霉菌、酵母、商业无菌</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碳酸饮料(汽水)</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碳酸饮料(汽水)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二氧化碳气容量、苯甲酸及其钠盐（以苯甲酸计）、山梨酸及其钾盐（以山梨酸计）、防腐剂混合使用时各自用量占其最大使用量的比例之和、甜蜜素（以环己基氨基磺酸计）、阿斯巴甜、菌落总数、霉菌、酵母</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茶饮料</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茶饮料</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茶多酚、咖啡因、脱氢乙酸及其钠盐（以脱氢乙酸计）、菌落总数</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固体饮料</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固体饮料</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铅（以Pb计）、苯甲酸及其钠盐（以苯甲酸计）、山梨酸及其钾盐（以山梨酸计）、防腐剂混合使用时各自用量占其最大使用量的比例之和、糖精钠（以糖精计）、合成着色剂（苋菜红、胭脂红、柠檬黄、日落黄、亮蓝）、相同色泽着色剂混合使用时各自用量占其最大使用量的比例之和、菌落总数、大肠菌群、霉菌</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其他饮料</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其他饮料</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防腐剂混合使用时各自用量占其最大使用量的比例之和、糖精钠（以糖精计）、甜蜜素（以环己基氨基磺酸计）、安赛蜜、合成着色剂（苋菜红、胭脂红、柠檬黄、日落黄、亮蓝）、菌落总数、大肠菌群、霉菌、酵母</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7</w:t>
            </w:r>
          </w:p>
        </w:tc>
        <w:tc>
          <w:tcPr>
            <w:tcW w:w="100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方便食品</w:t>
            </w:r>
          </w:p>
        </w:tc>
        <w:tc>
          <w:tcPr>
            <w:tcW w:w="97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方便食品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方便面</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油炸面、非油炸面、方便米粉(米线)、方便粉丝）</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水分、酸价（以脂肪计）（KOH）、过氧化值（以脂肪计）、菌落总数、大肠菌群、霉菌</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调味面制品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调味面制品</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苯甲酸及其钠盐（以苯甲酸计）、山梨酸及其钾盐（以山梨酸计）、脱氢乙酸及其钠盐（以脱氢乙酸计）、糖精钠（以糖精计）、甜蜜素（以环己基氨基磺酸计）、安赛蜜、三氯蔗糖、合成着色剂（柠檬黄、日落黄）、菌落总数、大肠菌群、霉菌、沙门氏菌、金黄色葡萄球菌</w:t>
            </w:r>
          </w:p>
        </w:tc>
        <w:tc>
          <w:tcPr>
            <w:tcW w:w="593" w:type="dxa"/>
            <w:vMerge w:val="restar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其他方便食品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方便粥、方</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便盒饭、冷</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面及其他熟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制方便食品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等</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黄曲霉毒素B1、苯甲酸及其钠盐（以苯甲酸计）、山梨酸及其钾盐（以山梨酸计）、糖精钠（以糖精计）、菌落总数、大肠菌群、霉菌、沙门氏菌、金黄色葡萄球菌</w:t>
            </w:r>
          </w:p>
        </w:tc>
        <w:tc>
          <w:tcPr>
            <w:tcW w:w="593" w:type="dxa"/>
            <w:vMerge w:val="continue"/>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 w:hRule="atLeast"/>
          <w:jc w:val="center"/>
        </w:trPr>
        <w:tc>
          <w:tcPr>
            <w:tcW w:w="50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8</w:t>
            </w:r>
          </w:p>
        </w:tc>
        <w:tc>
          <w:tcPr>
            <w:tcW w:w="100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饼干</w:t>
            </w:r>
          </w:p>
        </w:tc>
        <w:tc>
          <w:tcPr>
            <w:tcW w:w="977"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饼干</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饼干</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饼干</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山梨酸及其钾盐（以山梨酸计）、铝的残留量（干样品，以Al计）、脱氢乙酸及其钠盐（以脱氢乙酸计）、甜蜜素（以环己基氨基磺酸计）、糖精钠（以糖精计）、二氧化硫残留量、苯甲酸及其钠盐（以苯甲酸计）、合成着色剂（柠檬黄、日落黄、胭脂红、苋菜红、亮蓝、新红、赤藓红、靛蓝、诱惑红、酸性红、喹啉黄）、菌落总数、大肠菌群、金黄色葡萄球菌、沙门氏菌、霉菌</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9</w:t>
            </w:r>
          </w:p>
        </w:tc>
        <w:tc>
          <w:tcPr>
            <w:tcW w:w="100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罐头</w:t>
            </w:r>
          </w:p>
        </w:tc>
        <w:tc>
          <w:tcPr>
            <w:tcW w:w="97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罐头</w:t>
            </w: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畜禽水产罐头</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畜禽肉类罐头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铅（以Pb计）、镉（以Cd计）、苯甲酸及其钠盐（以苯甲酸计）、山梨酸及其钾盐（以山梨酸计）、糖精钠（以糖精计）、商业无菌</w:t>
            </w:r>
          </w:p>
        </w:tc>
        <w:tc>
          <w:tcPr>
            <w:tcW w:w="5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水产动物类罐头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组胺、铅（以Pb计）、无机砷（以As计）、脱氢乙酸及其钠盐（以脱氢乙酸计）、苯甲酸及其钠盐（以苯甲酸计）、山梨酸及其钾盐（以山梨酸计）、糖精钠（以糖精计）、甜蜜素（以环己基氨基磺酸计）、商业无菌</w:t>
            </w:r>
          </w:p>
        </w:tc>
        <w:tc>
          <w:tcPr>
            <w:tcW w:w="59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果蔬罐头</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水果类罐头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合成着色剂（柠檬黄、日落黄、苋菜红、胭脂红、赤藓红、诱惑红、亮蓝）、脱氢乙酸及其钠盐（以脱氢乙酸计）、苯甲酸及其钠盐（以苯甲酸计）、山梨酸及其钾盐（以山梨酸计）、糖精钠（以糖精计）、甜蜜素（以环己基氨基磺酸计）、二氧化硫残留量、商业无菌</w:t>
            </w:r>
          </w:p>
        </w:tc>
        <w:tc>
          <w:tcPr>
            <w:tcW w:w="5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蔬菜类罐头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铅（以Pb计）、合成着色剂（柠檬黄、日落黄、亮蓝）、脱氢乙酸及其钠盐（以脱氢乙酸计）、苯甲酸及其钠盐（以苯甲酸计）、山梨酸及其钾盐（以山梨酸计）、乙二胺四乙酸二钠、二氧化硫残留量、商业无菌</w:t>
            </w:r>
          </w:p>
        </w:tc>
        <w:tc>
          <w:tcPr>
            <w:tcW w:w="59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食用菌罐头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铅（以Pb计）、脱氢乙酸及其钠盐（以脱氢乙酸计）、苯甲酸及其钠盐（以苯甲酸计）、乙二胺四乙酸二钠、二氧化硫残留量、商业无菌</w:t>
            </w:r>
          </w:p>
        </w:tc>
        <w:tc>
          <w:tcPr>
            <w:tcW w:w="59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其他罐头</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其他罐头</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黄曲霉毒素B1、脱氢乙酸及其钠盐（以脱氢乙酸计）、苯甲酸及其钠盐（以苯甲酸计）、山梨酸及其钾盐（以山梨酸计）、乙二胺四乙酸二钠、商业无菌</w:t>
            </w:r>
          </w:p>
        </w:tc>
        <w:tc>
          <w:tcPr>
            <w:tcW w:w="59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c>
          <w:tcPr>
            <w:tcW w:w="100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冷冻饮品</w:t>
            </w:r>
          </w:p>
        </w:tc>
        <w:tc>
          <w:tcPr>
            <w:tcW w:w="977"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冷冻饮品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冷冻饮品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冰淇淋、雪糕、雪泥、冰棍、食用冰、甜味冰、其他类</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蛋白质、甜蜜素（以环己基氨基磺酸计）、糖精钠（以糖精计）、安赛蜜、三氯蔗糖、菌落总数、大肠菌群、沙门氏菌、单核细胞增生李斯特氏菌</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11</w:t>
            </w:r>
          </w:p>
        </w:tc>
        <w:tc>
          <w:tcPr>
            <w:tcW w:w="100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速冻食品</w:t>
            </w:r>
          </w:p>
        </w:tc>
        <w:tc>
          <w:tcPr>
            <w:tcW w:w="977"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速冻面米食品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速冻面米食品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速冻面米食品</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过氧化值（以脂肪计）、黄曲霉毒素B1、铅（以Pb计）、糖精钠（以糖精计）、甜蜜素（以环己基氨基磺酸计）、柠檬黄、日落黄、苋菜红、亮蓝、菌落总数、大肠菌群、沙门氏菌、金黄色葡萄球菌</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速冻调制食品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速冻调理肉制品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速冻调理肉制品</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过氧化值（以脂肪计）、铅（以Pb计）、铬（以Cr计）、氯霉素、胭脂红、柠檬黄、日落黄、诱惑红、亚硝酸盐、菌落总数、大肠菌群、沙门氏菌、金黄色葡萄球菌、单核细胞增生李斯特氏菌</w:t>
            </w:r>
          </w:p>
        </w:tc>
        <w:tc>
          <w:tcPr>
            <w:tcW w:w="59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速冻调制水产制品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速冻调制水产制品</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挥发性盐基氮、苯甲酸及其钠盐（以苯甲酸计）、山梨酸及其钾盐（以山梨酸计）、菌落总数、大肠菌群、沙门氏菌、副溶血性弧菌、单核细胞增生李斯特氏菌</w:t>
            </w:r>
          </w:p>
        </w:tc>
        <w:tc>
          <w:tcPr>
            <w:tcW w:w="59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速冻其他食品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速冻谷物食品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速冻谷物食品</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铅(以Pb计)、黄曲霉毒素B1</w:t>
            </w:r>
          </w:p>
        </w:tc>
        <w:tc>
          <w:tcPr>
            <w:tcW w:w="59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速冻蔬菜制品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速冻蔬菜制品</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铅（以Pb计）、镉（以Cd计）、糖精钠(以糖精计)</w:t>
            </w:r>
          </w:p>
        </w:tc>
        <w:tc>
          <w:tcPr>
            <w:tcW w:w="59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速冻水果制品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速冻水果制品</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铅(以Pb计)、镉(以Cd计)、菌落总数、大肠菌群、霉菌、沙门氏菌、金黄色葡萄球菌</w:t>
            </w:r>
          </w:p>
        </w:tc>
        <w:tc>
          <w:tcPr>
            <w:tcW w:w="59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12</w:t>
            </w:r>
          </w:p>
        </w:tc>
        <w:tc>
          <w:tcPr>
            <w:tcW w:w="100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薯类和膨化食品</w:t>
            </w:r>
          </w:p>
        </w:tc>
        <w:tc>
          <w:tcPr>
            <w:tcW w:w="977"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薯类和膨化食品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膨化食品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含油型膨化</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食品和非含</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油型膨化食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分、酸价（以脂肪计）（KOH）、过氧化值（以脂肪计）、黄曲霉毒素B1、糖精钠（以糖精计）、苯甲酸及其钠盐（以苯甲酸计）、山梨酸及其钾盐（以山梨酸计）、甜蜜素（以环己基氨基磺酸计）、菌落总数、大肠菌群、沙门氏菌、金黄色葡萄球菌</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00"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w:t>
            </w:r>
          </w:p>
        </w:tc>
        <w:tc>
          <w:tcPr>
            <w:tcW w:w="100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糖果制品</w:t>
            </w:r>
          </w:p>
        </w:tc>
        <w:tc>
          <w:tcPr>
            <w:tcW w:w="977"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糖果制品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(含巧克力</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及制品)</w:t>
            </w: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糖果</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糖果</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糖精钠（以糖精计）、甜蜜素（以环己基氨基磺酸计）、合成着色剂（柠檬黄、新红、苋菜红、靛蓝、胭脂红、日落黄、诱惑红、亮蓝、酸性红、喹啉黄、赤藓红）、相同色泽着色剂混合使用时各自用量占其最大使用量的比例之和、二氧化硫残留量、菌落总数、大肠菌群</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巧克力及巧克力制品</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巧克力、巧</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克力制品、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代可可脂巧</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克力及代可</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可脂巧克力</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制品</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铅(以Pb计)、沙门氏菌</w:t>
            </w:r>
          </w:p>
        </w:tc>
        <w:tc>
          <w:tcPr>
            <w:tcW w:w="59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0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77"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果冻</w:t>
            </w:r>
          </w:p>
        </w:tc>
        <w:tc>
          <w:tcPr>
            <w:tcW w:w="117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果冻</w:t>
            </w:r>
          </w:p>
        </w:tc>
        <w:tc>
          <w:tcPr>
            <w:tcW w:w="70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55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铅（以Pb计）、山梨酸及其钾盐（以山梨酸计）、苯甲酸及其钠盐（以苯甲酸计）、糖精钠（以糖精计）、甜蜜素（以环己基氨基磺酸计）、菌落总数、大肠菌群、霉菌、酵母</w:t>
            </w:r>
          </w:p>
        </w:tc>
        <w:tc>
          <w:tcPr>
            <w:tcW w:w="593"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929" w:type="dxa"/>
            <w:gridSpan w:val="7"/>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合计</w:t>
            </w:r>
          </w:p>
        </w:tc>
        <w:tc>
          <w:tcPr>
            <w:tcW w:w="593"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247</w:t>
            </w:r>
          </w:p>
        </w:tc>
      </w:tr>
    </w:tbl>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6"/>
          <w:szCs w:val="36"/>
          <w:lang w:val="en-US" w:eastAsia="zh-CN"/>
        </w:rPr>
      </w:pPr>
    </w:p>
    <w:p>
      <w:pPr>
        <w:rPr>
          <w:rFonts w:hint="eastAsia"/>
          <w:b/>
          <w:bCs/>
          <w:color w:val="000000"/>
          <w:kern w:val="0"/>
          <w:sz w:val="32"/>
          <w:szCs w:val="32"/>
          <w:lang w:val="en-US" w:eastAsia="zh-CN"/>
        </w:rPr>
      </w:pPr>
      <w:r>
        <w:rPr>
          <w:rFonts w:hint="eastAsia"/>
          <w:b/>
          <w:bCs/>
          <w:color w:val="000000"/>
          <w:kern w:val="0"/>
          <w:sz w:val="32"/>
          <w:szCs w:val="32"/>
          <w:lang w:val="en-US" w:eastAsia="zh-CN"/>
        </w:rPr>
        <w:br w:type="page"/>
      </w:r>
    </w:p>
    <w:p>
      <w:pPr>
        <w:pStyle w:val="16"/>
        <w:jc w:val="center"/>
        <w:rPr>
          <w:rFonts w:hint="eastAsia"/>
          <w:b/>
          <w:bCs/>
          <w:color w:val="000000"/>
          <w:kern w:val="0"/>
          <w:sz w:val="32"/>
          <w:szCs w:val="32"/>
          <w:lang w:val="en-US" w:eastAsia="zh-CN"/>
        </w:rPr>
      </w:pPr>
      <w:r>
        <w:rPr>
          <w:rFonts w:hint="eastAsia"/>
          <w:b/>
          <w:bCs/>
          <w:color w:val="000000"/>
          <w:kern w:val="0"/>
          <w:sz w:val="32"/>
          <w:szCs w:val="32"/>
          <w:lang w:val="en-US" w:eastAsia="zh-CN"/>
        </w:rPr>
        <w:t>2024年太原市迎泽区市场监督管理局包6监督抽检任务表</w:t>
      </w:r>
    </w:p>
    <w:tbl>
      <w:tblPr>
        <w:tblStyle w:val="31"/>
        <w:tblW w:w="8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3"/>
        <w:gridCol w:w="945"/>
        <w:gridCol w:w="942"/>
        <w:gridCol w:w="2"/>
        <w:gridCol w:w="895"/>
        <w:gridCol w:w="2"/>
        <w:gridCol w:w="1182"/>
        <w:gridCol w:w="2"/>
        <w:gridCol w:w="615"/>
        <w:gridCol w:w="2"/>
        <w:gridCol w:w="2496"/>
        <w:gridCol w:w="2"/>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58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序号</w:t>
            </w:r>
          </w:p>
        </w:tc>
        <w:tc>
          <w:tcPr>
            <w:tcW w:w="94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食品大类(一级)</w:t>
            </w:r>
          </w:p>
        </w:tc>
        <w:tc>
          <w:tcPr>
            <w:tcW w:w="94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食品亚类(二级)</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食品品种(三级)</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食品细类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(四级)</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风险等级</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抽检项目</w:t>
            </w:r>
          </w:p>
        </w:tc>
        <w:tc>
          <w:tcPr>
            <w:tcW w:w="58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茶叶及相 关制品</w:t>
            </w: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茶叶</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茶叶</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绿茶、红茶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、乌龙茶、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黄茶、白茶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、黑茶、花</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茶、袋泡茶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、紧压茶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铅（以Pb计）、草甘膦、吡虫啉、乙酰甲胺磷、联苯菊酯、灭多威、三氯杀螨醇、氰戊菊酯和S-氰戊菊酯、甲拌磷、克百威、水胺硫磷、氧乐果、毒死蜱、啶虫脒、多菌灵、茚虫威、柠檬黄、日落黄</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含茶制品和 代用茶</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含茶制品</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速溶茶类、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其它含茶制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铅（以Pb计）、菌落总数、大肠菌群、霉菌、霉菌及酵母</w:t>
            </w:r>
          </w:p>
        </w:tc>
        <w:tc>
          <w:tcPr>
            <w:tcW w:w="590"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代用茶</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代用茶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铅（以Pb计）、二氧化硫残留量、啶虫脒、克百威、毒死蜱、吡虫啉、氯氟氰菊酯和高效氯氟氰菊酯、霉菌</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酒类</w:t>
            </w: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蒸馏酒</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白酒</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白酒、白酒（液态）、白酒（原酒）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酒精度、铅（以Pb计）、甲醇、氰化物（以HCN计）、糖精钠（以糖精计）、甜蜜素（以环己基氨基磺酸计）、三氯蔗糖、安赛蜜</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发酵酒</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黄酒</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酒精度、氨基酸态氮、苯甲酸及其钠盐（以苯甲酸计）、山梨酸及其钾盐（以山梨酸计）、糖精钠（以糖精计）、甜蜜素（以环己基氨基磺酸计）</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啤酒</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啤酒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酒精度、甲醛</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葡萄酒</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葡萄酒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甲醇、苯甲酸及其钠盐（以苯甲酸计）、山梨酸及其钾盐（以山梨酸计）、糖精钠（以糖精计）、二氧化硫残留量、甜蜜素（以环己基氨基磺酸计）、三氯蔗糖、柠檬黄、日落黄、新红、胭脂红、赤藓红、苋菜红、诱惑红、酸性红、亮蓝</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果酒</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酒精度、展青霉素、糖精钠（以糖精计）、甜蜜素（以环己基氨基磺酸计）、安赛蜜、二氧化硫残留量、酸性红</w:t>
            </w:r>
          </w:p>
        </w:tc>
        <w:tc>
          <w:tcPr>
            <w:tcW w:w="590" w:type="dxa"/>
            <w:gridSpan w:val="2"/>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其他酒</w:t>
            </w: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配制酒</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以蒸馏酒及</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食用酒精为</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酒基的配制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酒精度、甲醇、氰化物(以HCN计)、甜蜜素(以环己基氨基磺酸计)、安赛蜜</w:t>
            </w:r>
          </w:p>
        </w:tc>
        <w:tc>
          <w:tcPr>
            <w:tcW w:w="590"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以发酵酒为</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酒基的配制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酒精度、苯甲酸及其钠盐(以苯甲酸计)、山梨酸及其钾盐(以山梨酸计)、甜蜜素 (以环己基氨基磺酸计)、防腐剂混合使用时各自用量占其最大使用量的比例之和、安赛蜜</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其他蒸馏酒</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其他蒸馏酒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酒精度、铅（以Pb计）、甲醇、氰化物(以HCN计)、三氯蔗糖</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其他发酵酒</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其他发酵酒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酒精度、苯甲酸及其钠盐(以苯甲酸计)、山梨酸及其钾盐(以山梨酸计)、糖精钠(以糖精计)、甜蜜素（以环己基氨基磺酸计）、安赛蜜</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16</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蔬菜制品</w:t>
            </w: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蔬菜制品</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酱腌菜</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酱腌菜</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亚硝酸盐（以NaNO2计）、苯甲酸及其钠盐（以苯甲酸计）、山梨酸及其钾盐（以山梨酸计）、脱氢乙酸及其钠盐（以脱氢乙酸计）、糖精钠（以糖精计）、甜蜜素（以环己基氨基磺酸计）、二氧化硫残留量、防腐剂混合使用时各自用量占其最大使用量的比例之和、安赛蜜、合成着色剂（柠檬黄、日落黄）、大肠菌群</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食用菌制品</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干制食用菌</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铅(以Pb计)、总砷(以As计)、镉(以Cd计)、总汞(以Hg计)、甲基汞（以Hg计）、苯甲酸及其钠盐(以苯甲酸计)</w:t>
            </w:r>
          </w:p>
        </w:tc>
        <w:tc>
          <w:tcPr>
            <w:tcW w:w="590"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腌渍食用菌</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苯甲酸及其钠盐(以苯甲酸计)、山梨酸及其钾盐(以山梨酸计)、脱氢乙酸及其钠盐(以脱氢乙酸计)、防腐剂混合使用时各自用量占其最大使用量的比例之和</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17</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水果制品</w:t>
            </w: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水果制品</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蜜饯</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蜜饯类、凉果类、果脯类、话化类、果糕类</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防腐剂混合使用时各自用量占其最大使用量的比例之和、糖精钠（以糖精计）、甜蜜素（以环己基氨基磺酸计）、安赛蜜、二氧化硫残留量、亮蓝、柠檬黄、日落黄、苋菜红、胭脂红、相同色泽着色剂混合使用时各自用量占其最大使用量的比例之和、乙二胺四乙酸二钠、菌落总数、大肠菌群、霉菌</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水果干制品</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水果干制品(含干枸杞）</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啶虫脒、吡虫啉、克百威、炔螨特、毒死蜱、氯氟氰菊酯和高效氯氟氰菊酯、氯氰菊酯和高效氯氰菊酯、苯甲酸及其钠盐（以苯甲酸计）、山梨酸及其钾盐（以山梨酸计）、脱氢乙酸及其钠盐（以脱氢乙酸计）、糖精钠（以糖精计）、二氧化硫残留量、亮蓝、柠檬黄、日落黄、苋菜红、胭脂红、菌落总数、大肠菌群、霉菌</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果酱</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果酱</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铅(以Pb计)、脱氢乙酸及其钠盐(以脱氢乙酸计)、菌落总数、大肠菌群、霉菌、商业无菌</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炒货食品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及坚果制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炒货食品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及坚果制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炒货食品及</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坚果制品( 烘炒类、油炸类、其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他类)</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开心果、杏</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仁、扁桃仁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、松仁、瓜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子</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黄曲霉毒素B1、苯甲酸及其钠盐（以苯甲酸计）、山梨酸及其钾盐（以山梨酸计）、脱氢乙酸及其钠盐（以脱氢乙酸计）、二氧化硫残留量、糖精钠（以糖精计）、甜蜜素（以环己基氨基磺酸计）、安赛蜜、大肠菌群、霉菌</w:t>
            </w:r>
          </w:p>
        </w:tc>
        <w:tc>
          <w:tcPr>
            <w:tcW w:w="590"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其他炒货食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品及坚果制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黄曲霉毒素B1、苯甲酸及其钠盐（以苯甲酸计）、山梨酸及其钾盐（以山梨酸计）、脱氢乙酸及其钠盐（以脱氢乙酸计）、二氧化硫残留量、糖精钠（以糖精计）、甜蜜素（以环己基氨基磺酸计）、安赛蜜、大肠菌群、霉菌</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19</w:t>
            </w:r>
          </w:p>
        </w:tc>
        <w:tc>
          <w:tcPr>
            <w:tcW w:w="94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蛋制品</w:t>
            </w: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蛋制品</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再制蛋</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再制蛋</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铅（以Pb计）、苯甲酸及其钠盐（以苯甲酸计）、山梨酸及其钾盐（以山梨酸计）、菌落总数、大肠菌群、沙门氏菌</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21</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食糖</w:t>
            </w: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食糖</w:t>
            </w: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食糖</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白砂糖</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蔗糖分、还原糖分、色值、干燥失重、二氧化硫残留量、螨</w:t>
            </w:r>
          </w:p>
        </w:tc>
        <w:tc>
          <w:tcPr>
            <w:tcW w:w="590"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绵白糖</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总糖分、还原糖分、色值、干燥失重、二氧化硫残留量、螨</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赤砂糖</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总糖分、不溶于水杂质、干燥失重、二氧化硫残留量、螨、合成着色剂(柠檬黄、新红、苋菜红、胭脂红、日落黄、诱惑红、酸性红、喹啉黄、赤藓红)</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红糖</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总糖分、不溶于水杂质、干燥失重、二氧化硫残留量、螨、合成着色剂(柠檬黄、新红、苋菜红、胭脂红、日落黄、诱惑红、酸性红、喹啉黄、赤藓红)</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冰糖</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蔗糖分、还原糖分、色值、干燥失重、二氧化硫残留量、螨、合成着色剂(柠檬黄、新红、苋菜红、胭脂红、日落黄、诱惑红、酸性红、喹啉黄、赤藓红)</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冰片糖</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总糖分、还原糖分、螨、干燥失重、二氧化硫残留量、合成着色剂(柠檬黄、新红、苋菜红、胭脂红、日落黄、诱惑红、酸性红、喹啉黄、赤藓红)</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方糖</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蔗糖分、还原糖分、色值、干燥失重、二氧化硫残留量、螨</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其他糖</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蔗糖分、总糖分、色值、还原糖分、干燥失重、二氧化硫残留量、螨、合成着色剂(柠檬黄、新红、苋菜红、胭脂红、日落黄、诱惑红、酸性红、喹啉黄、赤藓红)</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21</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水产制品</w:t>
            </w: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水产制品</w:t>
            </w: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干制水产品</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藻类干制品</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铅(以Pb计)、菌落总数、大肠菌群</w:t>
            </w:r>
          </w:p>
        </w:tc>
        <w:tc>
          <w:tcPr>
            <w:tcW w:w="590"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预制动物性水产干制品</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过氧化值（以脂肪计）、铅（以Pb计）、镉（以Cd计）、多氯联苯、N-二甲基亚硝胺、苯甲酸及其钠盐（以苯甲酸计）、山梨酸及其钾盐（以山梨酸计）、合成着色剂（柠檬黄、胭脂红、日落黄）</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鱼糜制品</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预制鱼糜制品</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挥发性盐基氮、铅（以Pb计）、多氯联苯、苯甲酸及其钠盐（以苯甲酸计）、山梨酸及其钾盐（以山梨酸计）、脱氢乙酸及其钠盐（以脱氢乙酸计）</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22</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淀粉及淀粉制品</w:t>
            </w: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淀粉及淀粉制品</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铅（以Pb计）、菌落总数、大肠菌群、霉菌和酵母、二氧化硫残留量、脱氢乙酸及其钠盐（以脱氢乙酸计）、葛根素</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淀粉制品</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粉丝粉条</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铝的残留量（干样品，以Al计）、二氧化硫残留量、合成着色剂（柠檬黄、新红、苋菜红、靛蓝、胭脂红、日落黄、诱惑红、亮蓝、酸性红、喹啉黄、赤藓红）</w:t>
            </w:r>
          </w:p>
        </w:tc>
        <w:tc>
          <w:tcPr>
            <w:tcW w:w="590"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其他淀粉制品</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铝的残留量（干样品，以Al计）、二氧化硫残留量、合成着色剂（柠檬黄、新红、苋菜红、靛蓝、胭脂红、日落黄、诱惑红、亮蓝、酸性红、喹啉黄、赤藓红）、相同色泽着色剂混合使用时各自用量占其最大使用量的比例之和</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淀粉糖</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淀粉糖</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总砷（以As计）、葡萄糖含量（以干基计，质量分数）、IMO含量（占干物质，质量分数）、IG2+P+IG3含量（占干物质，质量分数）、果糖（占干基比）、果糖+葡萄糖（占干基比）、5-羟甲基糠醛（以吸光度计）、果糖+葡萄糖含量（以干物质计）、果糖含量（以干物质计）、麦芽糖含量（以干物质计，质量分数）、干物质（固形物）、硫酸灰分</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6"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合成着色剂（柠檬黄、日落黄、胭脂红、苋菜红、亮蓝、新红、赤藓红、靛蓝、诱惑红、酸性红、喹啉黄）、防腐剂混合使用时各自用量占其最大使用量的比例之和、菌落总数、大肠菌群、金黄色葡萄球菌、沙门氏菌、霉菌</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月饼</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月饼</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糖精钠（以糖精计）、苯甲酸及其钠盐（以苯甲酸计）、山梨酸及其钾盐（以山梨酸计）、铝的残留量（干样品，以Al计）、丙酸及其钠盐、钙盐（以丙酸计）、脱氢乙酸及其钠盐（以脱氢乙酸计）、纳他霉素、甜蜜素（以环己基氨基磺酸计）、合成着色剂（柠檬黄、日落黄、胭脂红、苋菜红、亮蓝、新红、赤藓红、靛蓝、诱惑红、酸性红、喹啉黄）、防腐剂混合使用时各自用量占其最大使用量的比例之和、菌落总数、大肠菌群、金黄色葡萄球菌、沙门氏菌、霉菌</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粽子</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粽子</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粽子</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甜蜜素（以环己基氨基磺酸计）、山梨酸及其钾盐（以山梨酸计）、脱氢乙酸及其钠盐（以脱氢乙酸计）、糖精钠（以糖精计）、安赛蜜、菌落总数、大肠菌群、金黄色葡萄球菌、沙门氏菌、霉菌、商业无菌</w:t>
            </w:r>
          </w:p>
        </w:tc>
        <w:tc>
          <w:tcPr>
            <w:tcW w:w="590" w:type="dxa"/>
            <w:gridSpan w:val="2"/>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豆制品</w:t>
            </w: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豆制品</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发酵性豆制品</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腐乳、豆豉、纳豆等</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铅（以Pb计）、黄曲霉毒素B</w:t>
            </w:r>
            <w:r>
              <w:rPr>
                <w:rFonts w:hint="default" w:ascii="Times New Roman" w:hAnsi="Times New Roman" w:eastAsia="宋体" w:cs="Times New Roman"/>
                <w:i w:val="0"/>
                <w:iCs w:val="0"/>
                <w:color w:val="000000"/>
                <w:kern w:val="0"/>
                <w:sz w:val="18"/>
                <w:szCs w:val="18"/>
                <w:u w:val="none"/>
                <w:lang w:val="en-US" w:eastAsia="zh-CN" w:bidi="ar"/>
              </w:rPr>
              <w:t>₁</w:t>
            </w: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、苯甲酸及其钠盐（以苯甲酸计）、山梨酸及其钾盐（以山梨酸计）、脱氢乙酸及其钠盐（以脱氢乙酸计）、糖精钠（以糖精计）、甜蜜素（以环己基氨基磺酸计）、铝的残留量（干样品，以Al计）、大肠菌群</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非发酵性豆制品</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豆干、豆腐、豆皮等</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丙酸及其钠盐、钙盐（以丙酸计）、防腐剂混合使用时各自用量占其最大使用量的比例之和、糖精钠（以糖精计）、三氯蔗糖、甜蜜素（以环己基氨基磺酸计）、铝的残留量（干样品，以Al计）、柠檬黄、日落黄、大肠菌群、金黄色葡萄球菌</w:t>
            </w:r>
          </w:p>
        </w:tc>
        <w:tc>
          <w:tcPr>
            <w:tcW w:w="590"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腐竹、油皮及其再制品</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蛋白质、铅（以Pb计）、碱性嫩黄、苯甲酸及其钠盐（以苯甲酸计）、山梨酸及其钾盐（以山梨酸计）、脱氢乙酸及其钠盐（以脱氢乙酸计）、二氧化硫残留量、铝的残留量（干样品，以Al计）、柠檬黄、日落黄</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其他豆制品</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大豆蛋白类制品等</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铅（以Pb计）、苯甲酸及其钠盐（以苯甲酸计）、山梨酸及其钾盐（以山梨酸计）、脱氢乙酸及其钠盐（以脱氢乙酸计）、糖精钠（以糖精计）、三氯蔗糖、铝的残留量（干样品，以Al计）、大肠菌群</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25</w:t>
            </w:r>
          </w:p>
        </w:tc>
        <w:tc>
          <w:tcPr>
            <w:tcW w:w="94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蜂产品</w:t>
            </w: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蜂产品</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蜂蜜</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蜂蜜</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糖和葡萄糖、蔗糖、铅（以Pb计）、山梨酸及其钾盐（以山梨酸计）、氯霉素、呋喃西林代谢物、呋喃唑酮代谢物、甲硝唑、双甲脒、氟胺氰菊酯、诺氟沙星、氧氟沙星、培氟沙星、菌落总数、霉菌计数、嗜渗酵母计数</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29</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餐饮食品</w:t>
            </w: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米面及其制品(自制)</w:t>
            </w: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小麦粉制品（自制）</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馒头花卷(自制)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苯甲酸及其钠盐(以苯甲酸计)、山梨酸及其钾盐(以山梨酸计)、糖精钠(以糖精计)、脱氢乙酸及其钠盐（以脱氢乙酸计）、甜蜜素（以环己基氨基磺酸计）</w:t>
            </w:r>
          </w:p>
        </w:tc>
        <w:tc>
          <w:tcPr>
            <w:tcW w:w="590"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包子（自制）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苯甲酸及其钠盐(以苯甲酸计)、山梨酸及其钾盐(以山梨酸计)、糖精钠(以糖精计)、脱氢乙酸及其钠盐（以脱氢乙酸计）、甜蜜素（以环己基氨基磺酸计）</w:t>
            </w:r>
          </w:p>
        </w:tc>
        <w:tc>
          <w:tcPr>
            <w:tcW w:w="590"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油炸面制品(自制)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铝的残留量(干样品,以Al计)</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肉制品(自制)</w:t>
            </w: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熟肉制品(自制)</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肉冻、皮冻(自制)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铬(以Cr计)</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熏烧烤肉类（自制）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N-二甲基亚硝胺、苯并[a]芘、铅（以Pb计）</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调味料（自制）</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调味料（自制）</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火锅调味料(底料、蘸料)(自制）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罂粟碱、吗啡、可待因、那可丁</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水产制品（自制）</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预制水产制品（自制）</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生食动物性</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水产品(自制)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铝的残留量(干样品,以Al计)</w:t>
            </w:r>
          </w:p>
        </w:tc>
        <w:tc>
          <w:tcPr>
            <w:tcW w:w="590" w:type="dxa"/>
            <w:gridSpan w:val="2"/>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坚果及籽类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食品(自</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 )</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坚果及籽类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食品(自</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 )</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花生制品(自制)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黄曲霉毒素B1、苯甲酸及其钠盐（以苯甲酸计）、山梨酸及其钾盐（以山梨酸计）、脱氢乙酸及其钠盐（以脱氢乙酸计）</w:t>
            </w:r>
          </w:p>
        </w:tc>
        <w:tc>
          <w:tcPr>
            <w:tcW w:w="590" w:type="dxa"/>
            <w:gridSpan w:val="2"/>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餐饮具</w:t>
            </w:r>
          </w:p>
        </w:tc>
        <w:tc>
          <w:tcPr>
            <w:tcW w:w="897" w:type="dxa"/>
            <w:gridSpan w:val="2"/>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复用餐饮具</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复用餐饮具(餐馆自行消毒)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阴离子合成洗涤剂(以十二烷基苯磺酸钠计)、大肠菌群</w:t>
            </w:r>
          </w:p>
        </w:tc>
        <w:tc>
          <w:tcPr>
            <w:tcW w:w="590" w:type="dxa"/>
            <w:gridSpan w:val="2"/>
            <w:vMerge w:val="restar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97" w:type="dxa"/>
            <w:gridSpan w:val="2"/>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复用餐饮具(集中清洗消毒服务单位消毒)</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阴离子合成洗涤剂(以十二烷基苯磺酸钠计)、大肠菌群</w:t>
            </w:r>
          </w:p>
        </w:tc>
        <w:tc>
          <w:tcPr>
            <w:tcW w:w="590" w:type="dxa"/>
            <w:gridSpan w:val="2"/>
            <w:vMerge w:val="continue"/>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焙烤食品(自制)</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焙烤食品(自制)</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(自制）</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山梨酸及其钾盐（以山梨酸计）、脱氢乙酸及其钠盐（以脱氢乙酸计）、防腐剂混合使用时各自用量占其最大使用量的比例之和、铝的残留量（干样品，以Al计）</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5"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4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食用油、油脂及其制品（自制）</w:t>
            </w:r>
          </w:p>
        </w:tc>
        <w:tc>
          <w:tcPr>
            <w:tcW w:w="89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食用油、油脂及其制品（自制）</w:t>
            </w:r>
          </w:p>
        </w:tc>
        <w:tc>
          <w:tcPr>
            <w:tcW w:w="1184"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煎炸过程用油</w:t>
            </w:r>
          </w:p>
        </w:tc>
        <w:tc>
          <w:tcPr>
            <w:tcW w:w="617"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498"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极性组分、酸价（以脂肪计）（KOH）</w:t>
            </w:r>
          </w:p>
        </w:tc>
        <w:tc>
          <w:tcPr>
            <w:tcW w:w="590" w:type="dxa"/>
            <w:gridSpan w:val="2"/>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4" w:hRule="atLeast"/>
          <w:jc w:val="center"/>
        </w:trPr>
        <w:tc>
          <w:tcPr>
            <w:tcW w:w="7666" w:type="dxa"/>
            <w:gridSpan w:val="11"/>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合计</w:t>
            </w:r>
          </w:p>
        </w:tc>
        <w:tc>
          <w:tcPr>
            <w:tcW w:w="590"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247</w:t>
            </w:r>
          </w:p>
        </w:tc>
      </w:tr>
    </w:tbl>
    <w:p>
      <w:pPr>
        <w:pStyle w:val="16"/>
        <w:jc w:val="center"/>
        <w:rPr>
          <w:rFonts w:hint="eastAsia"/>
          <w:b/>
          <w:bCs/>
          <w:color w:val="000000"/>
          <w:kern w:val="0"/>
          <w:sz w:val="36"/>
          <w:szCs w:val="36"/>
          <w:lang w:val="en-US" w:eastAsia="zh-CN"/>
        </w:rPr>
      </w:pPr>
    </w:p>
    <w:p>
      <w:pPr>
        <w:rPr>
          <w:rFonts w:hint="eastAsia"/>
          <w:b/>
          <w:bCs/>
          <w:color w:val="000000"/>
          <w:kern w:val="0"/>
          <w:sz w:val="32"/>
          <w:szCs w:val="32"/>
          <w:lang w:val="en-US" w:eastAsia="zh-CN"/>
        </w:rPr>
      </w:pPr>
      <w:r>
        <w:rPr>
          <w:rFonts w:hint="eastAsia"/>
          <w:b/>
          <w:bCs/>
          <w:color w:val="000000"/>
          <w:kern w:val="0"/>
          <w:sz w:val="32"/>
          <w:szCs w:val="32"/>
          <w:lang w:val="en-US" w:eastAsia="zh-CN"/>
        </w:rPr>
        <w:br w:type="page"/>
      </w:r>
    </w:p>
    <w:p>
      <w:pPr>
        <w:pStyle w:val="16"/>
        <w:jc w:val="center"/>
        <w:rPr>
          <w:rFonts w:hint="eastAsia"/>
          <w:b/>
          <w:bCs/>
          <w:color w:val="000000"/>
          <w:kern w:val="0"/>
          <w:sz w:val="32"/>
          <w:szCs w:val="32"/>
          <w:lang w:val="en-US" w:eastAsia="zh-CN"/>
        </w:rPr>
      </w:pPr>
      <w:r>
        <w:rPr>
          <w:rFonts w:hint="eastAsia"/>
          <w:b/>
          <w:bCs/>
          <w:color w:val="000000"/>
          <w:kern w:val="0"/>
          <w:sz w:val="32"/>
          <w:szCs w:val="32"/>
          <w:lang w:val="en-US" w:eastAsia="zh-CN"/>
        </w:rPr>
        <w:t>2024年太原市迎泽区市场监督管理局包7监督抽检任务表</w:t>
      </w:r>
    </w:p>
    <w:tbl>
      <w:tblPr>
        <w:tblStyle w:val="31"/>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2"/>
        <w:gridCol w:w="991"/>
        <w:gridCol w:w="1112"/>
        <w:gridCol w:w="1321"/>
        <w:gridCol w:w="1018"/>
        <w:gridCol w:w="596"/>
        <w:gridCol w:w="2703"/>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序号</w:t>
            </w:r>
          </w:p>
        </w:tc>
        <w:tc>
          <w:tcPr>
            <w:tcW w:w="9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食品大类</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(一级)</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食品亚类</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(二级)</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食品品种</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(三级)</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食品细类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(四级)</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风险等级</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抽检项目</w:t>
            </w:r>
          </w:p>
        </w:tc>
        <w:tc>
          <w:tcPr>
            <w:tcW w:w="609" w:type="dxa"/>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粮食加工品</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大米</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大米</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大米</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铅（以Pb计）、镉（以Cd计）、无机砷（以As计）、苯并[a]芘、黄曲霉毒素B1、赭曲霉毒素A</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小麦粉</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小麦粉</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小麦粉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镉（以Cd计）、苯并[a]芘、玉米赤霉烯酮、脱氧雪腐镰刀菌烯醇、赭曲霉毒素A、黄曲霉毒素B1、偶氮甲酰胺、过氧化苯甲酰</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挂面</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挂面</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挂面</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铅（以Pb计）、黄曲霉毒素B1、脱氢乙酸及其钠盐（以脱氢乙酸计）、合成着色剂（柠檬黄、日落黄）</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其他粮食加工品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谷物加工品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谷物加工品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 Pb 计）、镉（以Cd计）、黄曲霉毒素B1、赭曲霉毒素A</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谷物碾磨加工品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玉米粉(片、渣)</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苯并[a]芘、黄曲霉毒素B1、赭曲霉毒素A、玉米赤霉烯酮、脱氧雪腐镰刀菌烯醇</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米粉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铅（以Pb计）、镉（以Cd计）、总汞（以Hg计）、无机砷（以As计）、苯并[a]芘</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其他谷物碾磨加工品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铅（以Pb计）、铬（以Cr计）、赭曲霉毒素A</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谷物粉类制成品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生湿面制品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铅（以Pb计）、苯甲酸及其钠盐（以苯甲酸计）、山梨酸及其钾盐（以山梨酸计）、脱氢乙酸及其钠盐（以脱氢乙酸计）、二氧化硫残留量、柠檬黄</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发酵面制品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糖精钠（以糖精计）、甜蜜素（以环己基氨基磺酸计）、安赛蜜、合成着色剂（柠檬黄、胭脂红）、菌落总数、大肠菌群、沙门氏菌、金黄色葡萄球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米粉制品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苯甲酸及其钠盐（以苯甲酸计）、山梨酸及其钾盐（以山梨酸计）、脱氢乙酸及其钠盐（以脱氢乙酸计）、二氧化硫残留量、菌落总数、大肠菌群、沙门氏菌、金黄色葡萄球菌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其他谷物粉类制成品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黄曲霉毒素B1、苯甲酸及其钠盐（以苯甲酸计）、山梨酸及其钾盐（以山梨酸计）、脱氢乙酸及其钠盐（以脱氢乙酸计）、菌落总数、大肠菌群、沙门氏菌、金黄色葡萄球菌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食用油、</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油脂及其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食用植物油</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食用植物油(半精炼、全精炼)</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花生油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酸值/酸价、过氧化值、黄曲霉毒素B1、铅(以Pb计)、苯并[a]芘、溶剂残留量、特丁基对苯二酚(TBHQ)</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玉米油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酸值/酸价、过氧化值、铅(以Pb计)、黄曲霉毒素B1、苯并[a]芘、特丁基对苯二酚(TBHQ)</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芝麻油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酸值/酸价、过氧化值、铅(以Pb计)、苯并[a]芘、溶剂残留量、乙基麦芽酚</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橄榄油、油橄榄果渣油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酸值/酸价、过氧化值、铅(以Pb计)、溶剂残留量、特丁基对苯二酚(TBHQ)</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菜籽油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酸值/酸价、过氧化值、铅(以Pb计)、苯并[a]芘、溶剂残留量、特丁基对苯二酚(TBHQ)、乙基麦芽酚</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大豆油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酸值/酸价、过氧化值、铅(以Pb计)、苯并[a]芘、溶剂残留量、特丁基对苯二酚(TBHQ)</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食用植物调和油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酸价、过氧化值、铅(以Pb计)、苯并[a]芘、溶剂残留量、特丁基对苯二酚(TBHQ)、乙基麦芽酚</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其他食用植</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物油(半精</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炼、全精</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炼)</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酸值/酸价、过氧化值、铅(以Pb计)、苯并[al芘、溶剂残留量、特丁基对苯二酚(TBHQ)</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调味品</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酱油</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酱油</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氨基酸态氮、全氮（以氮计）、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三氯蔗糖、甜蜜素（以环己基氨基磺酸计）、菌落总数、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食醋</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食醋</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食醋</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酸（以乙酸计）、不挥发酸（以乳酸计）、苯甲酸及其钠盐（以苯甲酸计）、山梨酸及其钾盐（以山梨酸计）、脱氢乙酸及其钠盐（以脱氢乙酸计）、对羟基苯甲酸酯类及其钠盐（以对羟基苯甲酸计）、防腐剂混合使用时各自用量占其最大使用量的比例之和、糖精钠（以糖精计）、三氯蔗糖、甜蜜素（以环己基氨基磺酸计）、菌落总数</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酱类</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酿造酱</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黄豆酱、甜面酱等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氨基酸态氮、黄曲霉毒素B1、苯甲酸及其钠盐（以苯甲酸计）、山梨酸及其钾盐（以山梨酸计）、脱氢乙酸及其钠盐（以脱氢乙酸计）、防腐剂混合使用时各自用量占其最大使用量的比例之和、糖精钠（以糖精计）、三氯蔗糖、甜蜜素（以环己基氨基磺酸计）、安赛蜜、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调味料酒</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调味料酒</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料酒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氨基酸态氮（以氮计）、苯甲酸及其钠盐（以苯甲酸计）、山梨酸及其钾盐（以山梨酸计）、脱氢乙酸及其钠盐（以脱氢乙酸计）、糖精钠（以糖精计）、甜蜜素（以环己基氨基磺酸计）、三氯蔗糖</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香辛料类</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香辛料类</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香辛料调味油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酸价/酸值、过氧化值、铅(以Pb计)</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辣椒、花椒</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、辣椒粉、</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花椒粉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铅（以Pb计）、罗丹明B、苏丹红Ⅰ、苏丹红Ⅱ、苏丹用Ⅲ、苏丹红Ⅳ、脱氢乙酸及其钠盐（以脱氢乙酸计）、二氧化硫残留量、合成着色剂（柠檬黄、日落黄、胭脂红）、沙门氏菌</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其他香辛料调味品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脱氢乙酸及其钠盐（以脱氢乙酸计）、二氧化硫残留量、甜蜜素（以环己基氨基磺酸计）、合成着色剂（柠檬黄、日落黄、苋菜红、胭脂红、亮蓝）、丙溴磷、氯氰菊酯和高效氯氰菊酯、多菌灵、沙门氏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固体复合调味料</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鸡粉、鸡精调味料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谷氨酸钠、呈味核苷酸二钠、铅（以Pb计）、糖精钠（以糖精计）、甜蜜素（以环己基氨基磺酸计）、菌落总数、大肠菌群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其他固体调味料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苏丹红Ⅰ、苏丹红Ⅱ、苏丹用Ⅲ、苏丹红Ⅳ、罂粟碱、吗啡、可待因、那可丁、苯甲酸及其钠盐（以苯甲酸计）、山梨酸及其钾盐（以山梨酸计）、脱氢乙酸及其钠盐（以脱氢乙酸计）、防腐剂混合使用时各自用量占其最大使用量的比例之和、糖精钠（以糖精计）、甜蜜素（以环己基氨基磺酸计）、安赛蜜、阿斯巴甜、二氧化硫残留量</w:t>
            </w:r>
          </w:p>
        </w:tc>
        <w:tc>
          <w:tcPr>
            <w:tcW w:w="609"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6040"/>
                  <wp:effectExtent l="0" t="0" r="0" b="10160"/>
                  <wp:wrapNone/>
                  <wp:docPr id="19" name="图片_1"/>
                  <wp:cNvGraphicFramePr/>
                  <a:graphic xmlns:a="http://schemas.openxmlformats.org/drawingml/2006/main">
                    <a:graphicData uri="http://schemas.openxmlformats.org/drawingml/2006/picture">
                      <pic:pic xmlns:pic="http://schemas.openxmlformats.org/drawingml/2006/picture">
                        <pic:nvPicPr>
                          <pic:cNvPr id="19" name="图片_1"/>
                          <pic:cNvPicPr/>
                        </pic:nvPicPr>
                        <pic:blipFill>
                          <a:blip r:embed="rId11"/>
                          <a:stretch>
                            <a:fillRect/>
                          </a:stretch>
                        </pic:blipFill>
                        <pic:spPr>
                          <a:xfrm>
                            <a:off x="0" y="0"/>
                            <a:ext cx="76200" cy="66040"/>
                          </a:xfrm>
                          <a:prstGeom prst="rect">
                            <a:avLst/>
                          </a:prstGeom>
                          <a:noFill/>
                          <a:ln>
                            <a:noFill/>
                          </a:ln>
                        </pic:spPr>
                      </pic:pic>
                    </a:graphicData>
                  </a:graphic>
                </wp:anchor>
              </w:drawing>
            </w:r>
            <w:r>
              <w:rPr>
                <w:rFonts w:hint="eastAsia" w:ascii="Times New Roman" w:hAnsi="Times New Roman" w:eastAsia="宋体" w:cs="Times New Roman"/>
                <w:i w:val="0"/>
                <w:iCs w:val="0"/>
                <w:color w:val="000000"/>
                <w:kern w:val="0"/>
                <w:sz w:val="18"/>
                <w:szCs w:val="18"/>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66040"/>
                  <wp:effectExtent l="0" t="0" r="0" b="10160"/>
                  <wp:wrapNone/>
                  <wp:docPr id="18" name="图片_1_SpCnt_1"/>
                  <wp:cNvGraphicFramePr/>
                  <a:graphic xmlns:a="http://schemas.openxmlformats.org/drawingml/2006/main">
                    <a:graphicData uri="http://schemas.openxmlformats.org/drawingml/2006/picture">
                      <pic:pic xmlns:pic="http://schemas.openxmlformats.org/drawingml/2006/picture">
                        <pic:nvPicPr>
                          <pic:cNvPr id="18" name="图片_1_SpCnt_1"/>
                          <pic:cNvPicPr/>
                        </pic:nvPicPr>
                        <pic:blipFill>
                          <a:blip r:embed="rId11"/>
                          <a:stretch>
                            <a:fillRect/>
                          </a:stretch>
                        </pic:blipFill>
                        <pic:spPr>
                          <a:xfrm>
                            <a:off x="0" y="0"/>
                            <a:ext cx="76200" cy="66040"/>
                          </a:xfrm>
                          <a:prstGeom prst="rect">
                            <a:avLst/>
                          </a:prstGeom>
                          <a:noFill/>
                          <a:ln>
                            <a:noFill/>
                          </a:ln>
                        </pic:spPr>
                      </pic:pic>
                    </a:graphicData>
                  </a:graphic>
                </wp:anchor>
              </w:drawing>
            </w:r>
            <w:r>
              <w:rPr>
                <w:rFonts w:hint="eastAsia" w:ascii="Times New Roman" w:hAnsi="Times New Roman" w:eastAsia="宋体" w:cs="Times New Roman"/>
                <w:i w:val="0"/>
                <w:iCs w:val="0"/>
                <w:color w:val="000000"/>
                <w:kern w:val="0"/>
                <w:sz w:val="18"/>
                <w:szCs w:val="18"/>
                <w:u w:val="none"/>
                <w:lang w:val="en-US" w:eastAsia="zh-CN" w:bidi="ar"/>
              </w:rPr>
              <w:t>3</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半体复合调味料</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蛋黄酱、沙拉酱</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二氧化钛</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坚果与籽类的泥(酱)</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酸价/酸值、过氧化值、铅(以Pb计)、黄曲霉毒素B1</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辣椒酱</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防腐剂混合使用时各自用量占其最大使用量的比例之和、甜蜜素（以环己基氨基磺酸计）、二氧化硫残留量</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火锅底料、麻辣烫底料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罂粟碱、吗啡、可待因、那可丁、苯甲酸及其钠盐（以苯甲酸计）、山梨酸及其钾盐（以山梨酸计）、脱氢乙酸及其钠盐（以脱氢乙酸计）、防腐剂混合使用时各自用量占其最大使用量的比例之和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1"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其他半固体调味料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罗丹明B、罂粟碱、吗啡、可待因、那可丁、苯甲酸及其钠盐（以苯甲酸计）、山梨酸及其钾盐（以山梨酸计）、脱氢乙酸及其钠盐（以脱氢乙酸计）、防腐剂混合使用时各自用量占其最大使用量的比例之和、甜蜜素（以环己基氨基磺酸计）、安赛蜜</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液体复合调味料</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蚝油、虾油、鱼露</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氨基酸态氮、苯甲酸及其钠盐（以苯甲酸计）、山梨酸及其钾盐（以山梨酸计）、脱氢乙酸及其钠盐（以脱氢乙酸计）、防腐剂混合使用时各自用量占其最大使用量的比例之和、菌落总数、大肠菌群</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其他液体调味料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防腐剂混合使用时各自用量占其最大使用量的比例之和、糖精钠（以糖精计）、甜蜜素（以环己基氨基磺酸计）、合成着色剂（柠檬黄、日落黄、胭脂红、诱惑红）、相同色泽着色剂混合使用时各自用量占其最大使用量的比例之和、菌落总数</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味精</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味精</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味精</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谷氨酸钠</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食盐</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食用盐</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普通食用盐</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氯化钠、钡(以Ba计)、碘(以I计)、铅(以Pb计)、总砷(以As计)、镉(以Cd计)、总汞(以Hg计)、亚铁氰化钾/亚铁氰化钠(以亚铁氰根计)</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低钠食用盐</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氯化钾、钡(以Ba计)、碘(以I计)、铅(以Pb计)、总砷(以As计)、镉(以Cd计)、总汞(以Hg计)、亚铁氰化钾/亚铁氰化钠(以亚铁氰根计)</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肉制品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预制肉制品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调理肉制品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调理肉制品(非速冻)</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铅（以Pb计）、苯甲酸及其钠盐（以苯甲酸计）、山梨酸及其钾盐（以山梨酸计）、脱氢乙酸及其钠盐（以脱氢乙酸计）、氯霉素</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腌腊肉制品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腌腊肉制品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过氧化值（以脂肪计）、铅（以Pb计）、总砷（以As计）、亚硝酸盐（以亚硝酸钠计）、苯甲酸及其钠盐（以苯甲酸计）、山梨酸及其钾盐（以山梨酸计）、胭脂红、诱惑红、苋菜红、酸性红、氯霉素</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熟肉制品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发酵肉制品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发酵肉制品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亚硝酸盐（以亚硝酸钠计）、纳他霉素、氯霉素、大肠菌群、沙门氏菌、金黄色葡萄球菌、单核细胞增生李斯特氏菌、致泻大肠埃希氏菌</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酱卤肉制品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酱卤肉制品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铬（以Cr计）、总砷（以As计）、N-二甲基亚硝胺、亚硝酸盐（以亚硝酸钠计）、苯甲酸及其钠盐（以苯甲酸计）、山梨酸及其钾盐（以山梨酸计）、脱氢乙酸及其钠盐（以脱氢乙酸计）、纳他霉素、防腐剂混合使用时各自用量占其最大使用量的比例之和、柠檬黄、日落黄、胭脂红、糖精钠（以糖精计）、氯霉素、酸性橙Ⅱ、菌落总数、大肠菌群、沙门氏菌、金黄色葡萄球菌、单核细胞增生李斯特氏菌、致泻大肠埃希氏菌、商业无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油炸肉制品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油炸肉制品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N-二甲基亚硝胺、亚硝酸盐（以亚硝酸钠计）、苯甲酸及其钠盐（以苯甲酸计）、山梨酸及其钾盐（以山梨酸计）、沙门氏菌、金黄色葡萄球菌、单核细胞增生李斯特氏菌、致泻大肠埃希氏菌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熟肉干制品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熟肉干制品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铬（以Cr计）、N-二甲基亚硝胺、苯甲酸及其钠盐（以苯甲酸计）、山梨酸及其钾盐（以山梨酸计）、脱氢乙酸及其钠盐（以脱氢乙酸计）、防腐剂混合使用时各自用量占其最大使用量的比例之和、胭脂红、氯霉素、菌落总数、大肠菌群、沙门氏菌、金黄色葡萄球菌、单核细胞增生李斯特氏菌、致泻大肠埃希氏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熏烧烤肉制品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熏烧烤肉制品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并[a]芘、N-二甲基亚硝胺、亚硝酸盐（以亚硝酸钠计）、苯甲酸及其钠盐（以苯甲酸计）、山梨酸及其钾盐（以山梨酸计）、纳他霉素、糖精钠（以糖精计）、柠檬黄、日落黄、胭脂红、氯霉素、菌落总数、大肠菌群、沙门氏菌、金黄色葡萄球菌、单核细胞增生李斯特氏菌、致泻大肠埃希氏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熏煮香肠火腿制品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熏煮香肠火腿制品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亚硝酸盐（以亚硝酸钠计）、苯甲酸及其钠盐（以苯甲酸计）、山梨酸及其钾盐（以山梨酸计）、脱氢乙酸及其钠盐（以脱氢乙酸计）、纳他霉素、防腐剂混合使用时各自用量占其最大使用量的比例之和、胭脂红、诱惑红、氯霉素、菌落总数、大肠菌群、沙门氏菌、金黄色葡萄球菌、单核细胞增生李斯特氏菌、致泻大肠埃希氏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乳制品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乳制品</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液体乳</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巴氏杀菌乳</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蛋白质、酸度、三聚氰胺、铅（以Pb计）、丙二醇、沙门氏菌、金黄色葡萄球菌、菌落总数、大肠菌群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灭菌乳</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蛋白质、非脂乳固体、酸度、脂肪、三聚氰胺、铅（以Pb计）、丙二醇、商业无菌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发酵乳</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脂肪、蛋白质、酸度、乳酸菌数、山梨酸及其钾盐（以山梨酸计）、三聚氰胺、铅（以Pb计）、金黄色葡萄球菌、沙门氏菌、大肠菌群、酵母、霉菌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高温杀菌乳</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蛋白质、酸度、三聚氰胺、沙门氏菌、菌落总数、大肠菌群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调制乳</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蛋白质、三聚氰胺、铅（以Pb计）、商业无菌、菌落总数、大肠菌群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1"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乳粉</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全脂乳粉、</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脱脂乳粉、</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部分脱脂乳</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粉、调制乳</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蛋白质、脂肪、三聚氰胺、铅（以Pb计）、菌落总数、大肠菌群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6</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饮料</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饮料</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包装饮用水</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饮用天然矿泉水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界限指标、铅（以Pb计）、总砷（以As计）、镉（以Cd计）、总汞（以Hg计）、镍、溴酸盐、硝酸盐（以NO3-计）、亚硝酸盐（以NO2-计）、大肠菌群、铜绿假单胞菌</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饮用纯净水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电导率、耗氧量（以O2计）、铅（以Pb计）、总砷（以As计）、镉（以Cd计）、亚硝酸盐（以NO2-计）、余氯（游离氯）、溴酸盐、三氯甲烷、大肠菌群、铜绿假单胞菌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其他类饮用水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耗氧量（以O2计）、铅（以Pb计）、总砷（以As计）、镉（以Cd计）、亚硝酸盐（以NO2-计）、余氯（游离氯）、溴酸盐、三氯甲烷、大肠菌群、铜绿假单胞菌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果蔬汁类及其饮料</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果蔬汁类及其饮料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展青霉素、苯甲酸及其钠盐（以苯甲酸计）、山梨酸及其钾盐（以山梨酸计）、脱氢乙酸及其钠盐（以脱氢乙酸计）、防腐剂混合使用时各自用量占其最大使用量的比例之和、安赛蜜、甜蜜素（以环己基氨基磺酸计）、合成着色剂（苋菜红、胭脂红、柠檬黄、日落黄、亮蓝）、菌落总数、大肠菌群、霉菌、酵母</w:t>
            </w:r>
          </w:p>
        </w:tc>
        <w:tc>
          <w:tcPr>
            <w:tcW w:w="609"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6</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饮料</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饮料</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蛋白饮料</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蛋白饮料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乳酸菌数、三聚氰胺、苯甲酸及其钠盐（以苯甲酸计）、山梨酸及其钾盐（以山梨酸计）、脱氢乙酸及其钠盐（以脱氢乙酸计）、防腐剂混合使用时各自用量占其最大使用量的比例之和、菌落总数、大肠菌群、霉菌、酵母、商业无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碳酸饮料(汽水)</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碳酸饮料(汽水)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二氧化碳气容量、苯甲酸及其钠盐（以苯甲酸计）、山梨酸及其钾盐（以山梨酸计）、防腐剂混合使用时各自用量占其最大使用量的比例之和、甜蜜素（以环己基氨基磺酸计）、阿斯巴甜、菌落总数、霉菌、酵母</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茶饮料</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茶饮料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茶多酚、咖啡因、脱氢乙酸及其钠盐（以脱氢乙酸计）、菌落总数</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固体饮料</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固体饮料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铅（以Pb计）、苯甲酸及其钠盐（以苯甲酸计）、山梨酸及其钾盐（以山梨酸计）、防腐剂混合使用时各自用量占其最大使用量的比例之和、糖精钠（以糖精计）、合成着色剂（苋菜红、胭脂红、柠檬黄、日落黄、亮蓝）、相同色泽着色剂混合使用时各自用量占其最大使用量的比例之和、菌落总数、大肠菌群、霉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其他饮料</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其他饮料</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防腐剂混合使用时各自用量占其最大使用量的比例之和、糖精钠（以糖精计）、甜蜜素（以环己基氨基磺酸计）、安赛蜜、合成着色剂（苋菜红、胭脂红、柠檬黄、日落黄、亮蓝）、菌落总数、大肠菌群、霉菌、酵母</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7</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方便食品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方便食品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方便面</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油炸面、非油炸面、方便米粉(米线)、方便粉丝）</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水分、酸价（以脂肪计）（KOH）、过氧化值（以脂肪计）、菌落总数、大肠菌群、霉菌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调味面制品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调味面制品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苯甲酸及其钠盐（以苯甲酸计）、山梨酸及其钾盐（以山梨酸计）、脱氢乙酸及其钠盐（以脱氢乙酸计）、糖精钠（以糖精计）、甜蜜素（以环己基氨基磺酸计）、安赛蜜、三氯蔗糖、合成着色剂（柠檬黄、日落黄）、菌落总数、大肠菌群、霉菌、沙门氏菌、金黄色葡萄球菌</w:t>
            </w:r>
          </w:p>
        </w:tc>
        <w:tc>
          <w:tcPr>
            <w:tcW w:w="609" w:type="dxa"/>
            <w:vMerge w:val="restar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其他方便食品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方便粥、方</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便盒饭、冷</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面及其他熟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制方便食品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黄曲霉毒素B1、苯甲酸及其钠盐（以苯甲酸计）、山梨酸及其钾盐（以山梨酸计）、糖精钠（以糖精计）、菌落总数、大肠菌群、霉菌、沙门氏菌、金黄色葡萄球菌</w:t>
            </w:r>
          </w:p>
        </w:tc>
        <w:tc>
          <w:tcPr>
            <w:tcW w:w="609" w:type="dxa"/>
            <w:vMerge w:val="continue"/>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8</w:t>
            </w:r>
          </w:p>
        </w:tc>
        <w:tc>
          <w:tcPr>
            <w:tcW w:w="9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饼干</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饼干</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饼干</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饼干</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山梨酸及其钾盐（以山梨酸计）、铝的残留量（干样品，以Al计）、脱氢乙酸及其钠盐（以脱氢乙酸计）、甜蜜素（以环己基氨基磺酸计）、糖精钠（以糖精计）、二氧化硫残留量、苯甲酸及其钠盐（以苯甲酸计）、合成着色剂（柠檬黄、日落黄、胭脂红、苋菜红、亮蓝、新红、赤藓红、靛蓝、诱惑红、酸性红、喹啉黄）、菌落总数、大肠菌群、金黄色葡萄球菌、沙门氏菌、霉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9</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罐头</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罐头</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畜禽水产罐头</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畜禽肉类罐头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铅（以Pb计）、镉（以Cd计）、苯甲酸及其钠盐（以苯甲酸计）、山梨酸及其钾盐（以山梨酸计）、糖精钠（以糖精计）、商业无菌</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水产动物类罐头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组胺、铅（以Pb计）、无机砷（以As计）、脱氢乙酸及其钠盐（以脱氢乙酸计）、苯甲酸及其钠盐（以苯甲酸计）、山梨酸及其钾盐（以山梨酸计）、糖精钠（以糖精计）、甜蜜素（以环己基氨基磺酸计）、商业无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果蔬罐头</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水果类罐头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合成着色剂（柠檬黄、日落黄、苋菜红、胭脂红、赤藓红、诱惑红、亮蓝）、脱氢乙酸及其钠盐（以脱氢乙酸计）、苯甲酸及其钠盐（以苯甲酸计）、山梨酸及其钾盐（以山梨酸计）、糖精钠（以糖精计）、甜蜜素（以环己基氨基磺酸计）、二氧化硫残留量、商业无菌</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蔬菜类罐头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铅（以Pb计）、合成着色剂（柠檬黄、日落黄、亮蓝）、脱氢乙酸及其钠盐（以脱氢乙酸计）、苯甲酸及其钠盐（以苯甲酸计）、山梨酸及其钾盐（以山梨酸计）、乙二胺四乙酸二钠、二氧化硫残留量、商业无菌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食用菌罐头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铅（以Pb计）、脱氢乙酸及其钠盐（以脱氢乙酸计）、苯甲酸及其钠盐（以苯甲酸计）、乙二胺四乙酸二钠、二氧化硫残留量、商业无菌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其他罐头</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其他罐头</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黄曲霉毒素B1、脱氢乙酸及其钠盐（以脱氢乙酸计）、苯甲酸及其钠盐（以苯甲酸计）、山梨酸及其钾盐（以山梨酸计）、乙二胺四乙酸二钠、商业无菌</w:t>
            </w:r>
          </w:p>
        </w:tc>
        <w:tc>
          <w:tcPr>
            <w:tcW w:w="609"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10</w:t>
            </w:r>
          </w:p>
        </w:tc>
        <w:tc>
          <w:tcPr>
            <w:tcW w:w="9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冷冻饮品</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冷冻饮品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冷冻饮品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冰淇淋、雪糕、雪泥、冰棍、食用冰、甜味冰、其他类</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蛋白质、甜蜜素（以环己基氨基磺酸计）、糖精钠（以糖精计）、安赛蜜、三氯蔗糖、菌落总数、大肠菌群、沙门氏菌、单核细胞增生李斯特氏菌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11</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速冻食品</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速冻面米食品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速冻面米食品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速冻面米食品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过氧化值（以脂肪计）、黄曲霉毒素B1、铅（以Pb计）、糖精钠（以糖精计）、甜蜜素（以环己基氨基磺酸计）、柠檬黄、日落黄、苋菜红、亮蓝、菌落总数、大肠菌群、沙门氏菌、金黄色葡萄球菌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速冻调制食品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速冻调理肉制品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速冻调理肉制品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过氧化值（以脂肪计）、铅（以Pb计）、铬（以Cr计）、氯霉素、胭脂红、柠檬黄、日落黄、诱惑红、亚硝酸盐、菌落总数、大肠菌群、沙门氏菌、金黄色葡萄球菌、单核细胞增生李斯特氏菌</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速冻调制水产制品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速冻调制水产制品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挥发性盐基氮、苯甲酸及其钠盐（以苯甲酸计）、山梨酸及其钾盐（以山梨酸计）、菌落总数、大肠菌群、沙门氏菌、副溶血性弧菌、单核细胞增生李斯特氏菌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速冻其他食品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速冻谷物食品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速冻谷物食品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铅(以Pb计)、黄曲霉毒素B1</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速冻蔬菜制品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速冻蔬菜制品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铅（以Pb计）、镉（以Cd计）、糖精钠(以糖精计)</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速冻水果制品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速冻水果制品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铅(以Pb计)、镉(以Cd计)、菌落总数、大肠菌群、霉菌、沙门氏菌、金黄色葡萄球菌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1" w:hRule="atLeast"/>
          <w:jc w:val="center"/>
        </w:trPr>
        <w:tc>
          <w:tcPr>
            <w:tcW w:w="76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12</w:t>
            </w:r>
          </w:p>
        </w:tc>
        <w:tc>
          <w:tcPr>
            <w:tcW w:w="9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薯类和膨化食品</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薯类和膨化食品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膨化食品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含油型膨化</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食品和非含</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油型膨化食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分、酸价（以脂肪计）（KOH）、过氧化值（以脂肪计）、黄曲霉毒素B1、糖精钠（以糖精计）、苯甲酸及其钠盐（以苯甲酸计）、山梨酸及其钾盐（以山梨酸计）、甜蜜素（以环己基氨基磺酸计）、菌落总数、大肠菌群、沙门氏菌、金黄色葡萄球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7"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13</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糖果制品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糖果制品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(含巧克力</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及制品)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糖果</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糖果</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糖精钠（以糖精计）、甜蜜素（以环己基氨基磺酸计）、合成着色剂（柠檬黄、新红、苋菜红、靛蓝、胭脂红、日落黄、诱惑红、亮蓝、酸性红、喹啉黄、赤藓红）、相同色泽着色剂混合使用时各自用量占其最大使用量的比例之和、二氧化硫残留量、菌落总数、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巧克力及巧克力制品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巧克力、巧</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克力制品、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代可可脂巧</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克力及代可</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可脂巧克力</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铅(以Pb计)、沙门氏菌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果冻</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果冻</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铅（以Pb计）、山梨酸及其钾盐（以山梨酸计）、苯甲酸及其钠盐（以苯甲酸计）、糖精钠（以糖精计）、甜蜜素（以环己基氨基磺酸计）、菌落总数、大肠菌群、霉菌、酵母</w:t>
            </w:r>
          </w:p>
        </w:tc>
        <w:tc>
          <w:tcPr>
            <w:tcW w:w="609"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14</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茶叶及相 关制品</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茶叶</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茶叶</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绿茶、红茶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、乌龙茶、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黄茶、白茶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、黑茶、花</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茶、袋泡茶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、紧压茶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铅（以Pb计）、草甘膦、吡虫啉、乙酰甲胺磷、联苯菊酯、灭多威、三氯杀螨醇、氰戊菊酯和S-氰戊菊酯、甲拌磷、克百威、水胺硫磷、氧乐果、毒死蜱、啶虫脒、多菌灵、茚虫威、柠檬黄、日落黄</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含茶制品和 代用茶</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含茶制品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速溶茶类、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其它含茶制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铅（以Pb计）、菌落总数、大肠菌群、霉菌、霉菌及酵母</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代用茶</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代用茶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铅（以Pb计）、二氧化硫残留量、啶虫脒、克百威、毒死蜱、吡虫啉、氯氟氰菊酯和高效氯氟氰菊酯、霉菌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15</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酒类</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蒸馏酒</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白酒</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白酒、白酒（液态）、白酒（原酒）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酒精度、铅（以Pb计）、甲醇、氰化物（以HCN计）、糖精钠（以糖精计）、甜蜜素（以环己基氨基磺酸计）、三氯蔗糖、安赛蜜</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发酵酒</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黄酒</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酒精度、氨基酸态氮、苯甲酸及其钠盐（以苯甲酸计）、山梨酸及其钾盐（以山梨酸计）、糖精钠（以糖精计）、甜蜜素（以环己基氨基磺酸计）</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啤酒</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啤酒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酒精度、甲醛</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1"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葡萄酒</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葡萄酒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甲醇、苯甲酸及其钠盐（以苯甲酸计）、山梨酸及其钾盐（以山梨酸计）、糖精钠（以糖精计）、二氧化硫残留量、甜蜜素（以环己基氨基磺酸计）、三氯蔗糖、柠檬黄、日落黄、新红、胭脂红、赤藓红、苋菜红、诱惑红、酸性红、亮蓝</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果酒</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酒精度、展青霉素、糖精钠（以糖精计）、甜蜜素（以环己基氨基磺酸计）、安赛蜜、二氧化硫残留量、酸性红</w:t>
            </w:r>
          </w:p>
        </w:tc>
        <w:tc>
          <w:tcPr>
            <w:tcW w:w="609"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其他酒</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配制酒</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以蒸馏酒及</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食用酒精为</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酒基的配制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酒精度、甲醇、氰化物(以HCN计)、甜蜜素(以环己基氨基磺酸计)、安赛蜜</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以发酵酒为</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酒基的配制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酒精度、苯甲酸及其钠盐(以苯甲酸计)、山梨酸及其钾盐(以山梨酸计)、甜蜜素 (以环己基氨基磺酸计)、防腐剂混合使用时各自用量占其最大使用量的比例之和、安赛蜜</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其他蒸馏酒</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其他蒸馏酒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酒精度、铅（以Pb计）、甲醇、氰化物(以HCN计)、三氯蔗糖</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FFFF0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其他发酵酒</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其他发酵酒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酒精度、苯甲酸及其钠盐(以苯甲酸计)、山梨酸及其钾盐(以山梨酸计)、糖精钠(以糖精计)、甜蜜素（以环己基氨基磺酸计）、安赛蜜</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16</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蔬菜制品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蔬菜制品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酱腌菜</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酱腌菜</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亚硝酸盐（以NaNO2计）、苯甲酸及其钠盐（以苯甲酸计）、山梨酸及其钾盐（以山梨酸计）、脱氢乙酸及其钠盐（以脱氢乙酸计）、糖精钠（以糖精计）、甜蜜素（以环己基氨基磺酸计）、二氧化硫残留量、防腐剂混合使用时各自用量占其最大使用量的比例之和、安赛蜜、合成着色剂（柠檬黄、日落黄）、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食用菌制品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干制食用菌</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铅(以Pb计)、总砷(以As计)、镉(以Cd计)、总汞(以Hg计)、甲基汞（以Hg计）、苯甲酸及其钠盐(以苯甲酸计)</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腌渍食用菌</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苯甲酸及其钠盐(以苯甲酸计)、山梨酸及其钾盐(以山梨酸计)、脱氢乙酸及其钠盐(以脱氢乙酸计)、防腐剂混合使用时各自用量占其最大使用量的比例之和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5"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17</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水果制品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水果制品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蜜饯</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蜜饯类、凉果类、果脯类、话化类、果糕类</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防腐剂混合使用时各自用量占其最大使用量的比例之和、糖精钠（以糖精计）、甜蜜素（以环己基氨基磺酸计）、安赛蜜、二氧化硫残留量、亮蓝、柠檬黄、日落黄、苋菜红、胭脂红、相同色泽着色剂混合使用时各自用量占其最大使用量的比例之和、乙二胺四乙酸二钠、菌落总数、大肠菌群、霉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水果干制品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水果干制品(含干枸杞）</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啶虫脒、吡虫啉、克百威、炔螨特、毒死蜱、氯氟氰菊酯和高效氯氟氰菊酯、氯氰菊酯和高效氯氰菊酯、苯甲酸及其钠盐（以苯甲酸计）、山梨酸及其钾盐（以山梨酸计）、脱氢乙酸及其钠盐（以脱氢乙酸计）、糖精钠（以糖精计）、二氧化硫残留量、亮蓝、柠檬黄、日落黄、苋菜红、胭脂红、菌落总数、大肠菌群、霉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果酱</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果酱</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铅(以Pb计)、脱氢乙酸及其钠盐(以脱氢乙酸计)、菌落总数、大肠菌群、霉菌、商业无菌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1"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18</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炒货食品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及坚果制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炒货食品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及坚果制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炒货食品及</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坚果制品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 烘炒类、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油炸类、其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他类)</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开心果、杏</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仁、扁桃仁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、松仁、瓜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子</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黄曲霉毒素B1、苯甲酸及其钠盐（以苯甲酸计）、山梨酸及其钾盐（以山梨酸计）、脱氢乙酸及其钠盐（以脱氢乙酸计）、二氧化硫残留量、糖精钠（以糖精计）、甜蜜素（以环己基氨基磺酸计）、安赛蜜、大肠菌群、霉菌</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其他炒货食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品及坚果制</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黄曲霉毒素B1、苯甲酸及其钠盐（以苯甲酸计）、山梨酸及其钾盐（以山梨酸计）、脱氢乙酸及其钠盐（以脱氢乙酸计）、二氧化硫残留量、糖精钠（以糖精计）、甜蜜素（以环己基氨基磺酸计）、安赛蜜、大肠菌群、霉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19</w:t>
            </w:r>
          </w:p>
        </w:tc>
        <w:tc>
          <w:tcPr>
            <w:tcW w:w="9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蛋制品</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蛋制品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再制蛋</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再制蛋</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铅（以Pb计）、苯甲酸及其钠盐（以苯甲酸计）、山梨酸及其钾盐（以山梨酸计）、菌落总数、大肠菌群、沙门氏菌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21</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食糖</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食糖</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食糖</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白砂糖</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蔗糖分、还原糖分、色值、干燥失重、二氧化硫残留量、螨</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绵白糖</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总糖分、还原糖分、色值、干燥失重、二氧化硫残留量、螨</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赤砂糖</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总糖分、不溶于水杂质、干燥失重、二氧化硫残留量、螨、合成着色剂(柠檬黄、新红、苋菜红、胭脂红、日落黄、诱惑红、酸性红、喹啉黄、赤藓红)</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红糖</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总糖分、不溶于水杂质、干燥失重、二氧化硫残留量、螨、合成着色剂(柠檬黄、新红、苋菜红、胭脂红、日落黄、诱惑红、酸性红、喹啉黄、赤藓红)</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冰糖</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蔗糖分、还原糖分、色值、干燥失重、二氧化硫残留量、螨、合成着色剂(柠檬黄、新红、苋菜红、胭脂红、日落黄、诱惑红、酸性红、喹啉黄、赤藓红)</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冰片糖</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总糖分、还原糖分、螨、干燥失重、二氧化硫残留量、合成着色剂(柠檬黄、新红、苋菜红、胭脂红、日落黄、诱惑红、酸性红、喹啉黄、赤藓红)</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方糖</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蔗糖分、还原糖分、色值、干燥失重、二氧化硫残留量、螨</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其他糖</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蔗糖分、总糖分、色值、还原糖分、干燥失重、二氧化硫残留量、螨、合成着色剂(柠檬黄、新红、苋菜红、胭脂红、日落黄、诱惑红、酸性红、喹啉黄、赤藓红)</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21</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水产制品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水产制品</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干制水产品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藻类干制品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铅(以Pb计)、菌落总数、大肠菌群</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预制动物性水产干制品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过氧化值（以脂肪计）、铅（以Pb计）、镉（以Cd计）、多氯联苯、N-二甲基亚硝胺、苯甲酸及其钠盐（以苯甲酸计）、山梨酸及其钾盐（以山梨酸计）、合成着色剂（柠檬黄、胭脂红、日落黄）</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鱼糜制品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预制鱼糜制品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挥发性盐基氮、铅（以Pb计）、多氯联苯、苯甲酸及其钠盐（以苯甲酸计）、山梨酸及其钾盐（以山梨酸计）、脱氢乙酸及其钠盐（以脱氢乙酸计）</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22</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淀粉及淀粉制品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淀粉及淀粉制品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铅（以Pb计）、菌落总数、大肠菌群、霉菌和酵母、二氧化硫残留量、脱氢乙酸及其钠盐（以脱氢乙酸计）、葛根素</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1"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粉丝粉条</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铝的残留量（干样品，以Al计）、二氧化硫残留量、合成着色剂（柠檬黄、新红、苋菜红、靛蓝、胭脂红、日落黄、诱惑红、亮蓝、酸性红、喹啉黄、赤藓红）</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其他淀粉制品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铝的残留量（干样品，以Al计）、二氧化硫残留量、合成着色剂（柠檬黄、新红、苋菜红、靛蓝、胭脂红、日落黄、诱惑红、亮蓝、酸性红、喹啉黄、赤藓红）、相同色泽着色剂混合使用时各自用量占其最大使用量的比例之和</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淀粉糖</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淀粉糖</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一般</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总砷（以As计）、葡萄糖含量（以干基计，质量分数）、IMO含量（占干物质，质量分数）、IG2+P+IG3含量（占干物质，质量分数）、果糖（占干基比）、果糖+葡萄糖（占干基比）、5-羟甲基糠醛（以吸光度计）、果糖+葡萄糖含量（以干物质计）、果糖含量（以干物质计）、麦芽糖含量（以干物质计，质量分数）、干物质（固形物）、硫酸灰分</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74"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23</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合成着色剂（柠檬黄、日落黄、胭脂红、苋菜红、亮蓝、新红、赤藓红、靛蓝、诱惑红、酸性红、喹啉黄）、防腐剂混合使用时各自用量占其最大使用量的比例之和、菌落总数、大肠菌群、金黄色葡萄球菌、沙门氏菌、霉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月饼</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月饼</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糖精钠（以糖精计）、苯甲酸及其钠盐（以苯甲酸计）、山梨酸及其钾盐（以山梨酸计）、铝的残留量（干样品，以Al计）、丙酸及其钠盐、钙盐（以丙酸计）、脱氢乙酸及其钠盐（以脱氢乙酸计）、纳他霉素、甜蜜素（以环己基氨基磺酸计）、合成着色剂（柠檬黄、日落黄、胭脂红、苋菜红、亮蓝、新红、赤藓红、靛蓝、诱惑红、酸性红、喹啉黄）、防腐剂混合使用时各自用量占其最大使用量的比例之和、菌落总数、大肠菌群、金黄色葡萄球菌、沙门氏菌、霉菌</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1"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粽子</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粽子</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粽子</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甜蜜素（以环己基氨基磺酸计）、山梨酸及其钾盐（以山梨酸计）、脱氢乙酸及其钠盐（以脱氢乙酸计）、糖精钠（以糖精计）、安赛蜜、菌落总数、大肠菌群、金黄色葡萄球菌、沙门氏菌、霉菌、商业无菌</w:t>
            </w:r>
          </w:p>
        </w:tc>
        <w:tc>
          <w:tcPr>
            <w:tcW w:w="609"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1"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24</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豆制品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豆制品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发酵性豆制品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腐乳、豆豉、纳豆等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铅（以Pb计）、黄曲霉毒素B</w:t>
            </w:r>
            <w:r>
              <w:rPr>
                <w:rFonts w:hint="default" w:ascii="Times New Roman" w:hAnsi="Times New Roman" w:eastAsia="宋体" w:cs="Times New Roman"/>
                <w:i w:val="0"/>
                <w:iCs w:val="0"/>
                <w:color w:val="000000"/>
                <w:kern w:val="0"/>
                <w:sz w:val="18"/>
                <w:szCs w:val="18"/>
                <w:u w:val="none"/>
                <w:lang w:val="en-US" w:eastAsia="zh-CN" w:bidi="ar"/>
              </w:rPr>
              <w:t>₁</w:t>
            </w: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、苯甲酸及其钠盐（以苯甲酸计）、山梨酸及其钾盐（以山梨酸计）、脱氢乙酸及其钠盐（以脱氢乙酸计）、糖精钠（以糖精计）、甜蜜素（以环己基氨基磺酸计）、铝的残留量（干样品，以Al计）、大肠菌群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非发酵性豆制品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豆干、豆腐、豆皮等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丙酸及其钠盐、钙盐（以丙酸计）、防腐剂混合使用时各自用量占其最大使用量的比例之和、糖精钠（以糖精计）、三氯蔗糖、甜蜜素（以环己基氨基磺酸计）、铝的残留量（干样品，以Al计）、柠檬黄、日落黄、大肠菌群、金黄色葡萄球菌</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腐竹、油皮及其再制品</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蛋白质、铅（以Pb计）、碱性嫩黄、苯甲酸及其钠盐（以苯甲酸计）、山梨酸及其钾盐（以山梨酸计）、脱氢乙酸及其钠盐（以脱氢乙酸计）、二氧化硫残留量、铝的残留量（干样品，以Al计）、柠檬黄、日落黄</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其他豆制品</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大豆蛋白类制品等</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铅（以Pb计）、苯甲酸及其钠盐（以苯甲酸计）、山梨酸及其钾盐（以山梨酸计）、脱氢乙酸及其钠盐（以脱氢乙酸计）、糖精钠（以糖精计）、三氯蔗糖、铝的残留量（干样品，以Al计）、大肠菌群</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1" w:hRule="atLeast"/>
          <w:jc w:val="center"/>
        </w:trPr>
        <w:tc>
          <w:tcPr>
            <w:tcW w:w="76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25</w:t>
            </w:r>
          </w:p>
        </w:tc>
        <w:tc>
          <w:tcPr>
            <w:tcW w:w="99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蜂产品</w:t>
            </w: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蜂产品</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蜂蜜</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蜂蜜</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果糖和葡萄糖、蔗糖、铅（以Pb计）、山梨酸及其钾盐（以山梨酸计）、氯霉素、呋喃西林代谢物、呋喃唑酮代谢物、甲硝唑、双甲脒、氟胺氰菊酯、诺氟沙星、氧氟沙星、培氟沙星、菌落总数、霉菌计数、嗜渗酵母计数</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29</w:t>
            </w:r>
          </w:p>
        </w:tc>
        <w:tc>
          <w:tcPr>
            <w:tcW w:w="99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餐饮食品</w:t>
            </w: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米面及其制品(自制)</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小麦粉制品（自制）</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馒头花卷(自制)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苯甲酸及其钠盐(以苯甲酸计)、山梨酸及其钾盐(以山梨酸计)、糖精钠(以糖精计)、脱氢乙酸及其钠盐（以脱氢乙酸计）、甜蜜素（以环己基氨基磺酸计）</w:t>
            </w:r>
          </w:p>
        </w:tc>
        <w:tc>
          <w:tcPr>
            <w:tcW w:w="60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包子（自制）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苯甲酸及其钠盐(以苯甲酸计)、山梨酸及其钾盐(以山梨酸计)、糖精钠(以糖精计)、脱氢乙酸及其钠盐（以脱氢乙酸计）、甜蜜素（以环己基氨基磺酸计）</w:t>
            </w:r>
          </w:p>
        </w:tc>
        <w:tc>
          <w:tcPr>
            <w:tcW w:w="60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油炸面制品(自制)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铝的残留量(干样品,以Al计)</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肉制品(自制)</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熟肉制品(自制)</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肉冻、皮冻(自制)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铬(以Cr计)</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熏烧烤肉类（自制）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N-二甲基亚硝胺、苯并[a]芘、铅（以Pb计）</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调味料（自制）</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调味料（自制）</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火锅调味料(底料、蘸料)(自制）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罂粟碱、吗啡、可待因、那可丁</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水产制品（自制）</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预制水产制品（自制）</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生食动物性</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水产品(自 制 )</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铝的残留量(干样品,以Al计)</w:t>
            </w:r>
          </w:p>
        </w:tc>
        <w:tc>
          <w:tcPr>
            <w:tcW w:w="609"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坚果及籽类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食品(自</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 )</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坚果及籽类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食品(自</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制 )</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花生制品(自制)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黄曲霉毒素B1、苯甲酸及其钠盐（以苯甲酸计）、山梨酸及其钾盐（以山梨酸计）、脱氢乙酸及其钠盐（以脱氢乙酸计）</w:t>
            </w:r>
          </w:p>
        </w:tc>
        <w:tc>
          <w:tcPr>
            <w:tcW w:w="609"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餐饮具</w:t>
            </w:r>
          </w:p>
        </w:tc>
        <w:tc>
          <w:tcPr>
            <w:tcW w:w="132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复用餐饮具</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复用餐饮具(餐馆自行消毒)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阴离子合成洗涤剂(以十二烷基苯磺酸钠计)、大肠菌群</w:t>
            </w:r>
          </w:p>
        </w:tc>
        <w:tc>
          <w:tcPr>
            <w:tcW w:w="609" w:type="dxa"/>
            <w:vMerge w:val="restar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32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复用餐饮具(集中清洗消毒服务单位消毒)</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阴离子合成洗涤剂(以十二烷基苯磺酸钠计)、大肠菌群</w:t>
            </w:r>
          </w:p>
        </w:tc>
        <w:tc>
          <w:tcPr>
            <w:tcW w:w="609" w:type="dxa"/>
            <w:vMerge w:val="continue"/>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焙烤食品(自制)</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焙烤食品(自制)</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糕点</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(自制）</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以脂肪计）（KOH）、过氧化值（以脂肪计）、山梨酸及其钾盐（以山梨酸计）、脱氢乙酸及其钠盐（以脱氢乙酸计）、防腐剂混合使用时各自用量占其最大使用量的比例之和、铝的残留量（干样品，以Al计）</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5" w:hRule="atLeast"/>
          <w:jc w:val="center"/>
        </w:trPr>
        <w:tc>
          <w:tcPr>
            <w:tcW w:w="762"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9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12"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食用油、油脂及其制品（自制）</w:t>
            </w:r>
          </w:p>
        </w:tc>
        <w:tc>
          <w:tcPr>
            <w:tcW w:w="1321"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食用油、油脂及其制品（自制）</w:t>
            </w:r>
          </w:p>
        </w:tc>
        <w:tc>
          <w:tcPr>
            <w:tcW w:w="101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煎炸过程用油</w:t>
            </w:r>
          </w:p>
        </w:tc>
        <w:tc>
          <w:tcPr>
            <w:tcW w:w="5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70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极性组分、酸价（以脂肪计）（KOH）</w:t>
            </w:r>
          </w:p>
        </w:tc>
        <w:tc>
          <w:tcPr>
            <w:tcW w:w="60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5" w:hRule="atLeast"/>
          <w:jc w:val="center"/>
        </w:trPr>
        <w:tc>
          <w:tcPr>
            <w:tcW w:w="8503" w:type="dxa"/>
            <w:gridSpan w:val="7"/>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合计</w:t>
            </w:r>
          </w:p>
        </w:tc>
        <w:tc>
          <w:tcPr>
            <w:tcW w:w="609"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cs="Times New Roman"/>
                <w:i w:val="0"/>
                <w:iCs w:val="0"/>
                <w:color w:val="000000"/>
                <w:kern w:val="0"/>
                <w:sz w:val="18"/>
                <w:szCs w:val="18"/>
                <w:u w:val="none"/>
                <w:lang w:val="en-US" w:eastAsia="zh-CN" w:bidi="ar"/>
              </w:rPr>
              <w:t>180</w:t>
            </w:r>
          </w:p>
        </w:tc>
      </w:tr>
    </w:tbl>
    <w:p>
      <w:pPr>
        <w:pStyle w:val="16"/>
        <w:jc w:val="center"/>
        <w:rPr>
          <w:rFonts w:hint="eastAsia"/>
          <w:b/>
          <w:bCs/>
          <w:color w:val="000000"/>
          <w:kern w:val="0"/>
          <w:sz w:val="36"/>
          <w:szCs w:val="36"/>
          <w:lang w:val="en-US" w:eastAsia="zh-CN"/>
        </w:rPr>
      </w:pPr>
    </w:p>
    <w:p>
      <w:pPr>
        <w:pStyle w:val="16"/>
        <w:jc w:val="center"/>
        <w:rPr>
          <w:rFonts w:hint="eastAsia"/>
          <w:b/>
          <w:bCs/>
          <w:color w:val="000000"/>
          <w:kern w:val="0"/>
          <w:sz w:val="32"/>
          <w:szCs w:val="32"/>
          <w:lang w:val="en-US" w:eastAsia="zh-CN"/>
        </w:rPr>
      </w:pPr>
      <w:r>
        <w:rPr>
          <w:rFonts w:hint="eastAsia"/>
          <w:b/>
          <w:bCs/>
          <w:color w:val="000000"/>
          <w:kern w:val="0"/>
          <w:sz w:val="32"/>
          <w:szCs w:val="32"/>
          <w:lang w:val="en-US" w:eastAsia="zh-CN"/>
        </w:rPr>
        <w:t>2024年太原市迎泽区市场监督管理局包8监督抽检任务表</w:t>
      </w:r>
    </w:p>
    <w:tbl>
      <w:tblPr>
        <w:tblStyle w:val="31"/>
        <w:tblW w:w="91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5"/>
        <w:gridCol w:w="1051"/>
        <w:gridCol w:w="981"/>
        <w:gridCol w:w="980"/>
        <w:gridCol w:w="1704"/>
        <w:gridCol w:w="635"/>
        <w:gridCol w:w="2056"/>
        <w:gridCol w:w="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序号</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食品大类(一级)</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食品亚类(二级)</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食品品种(三级)</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食品细类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(四级)</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风险等级</w:t>
            </w:r>
          </w:p>
        </w:tc>
        <w:tc>
          <w:tcPr>
            <w:tcW w:w="20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抽检项目</w:t>
            </w:r>
          </w:p>
        </w:tc>
        <w:tc>
          <w:tcPr>
            <w:tcW w:w="9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1</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餐饮食品</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餐饮具</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复用餐饮具</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复用餐饮具(餐馆自行消毒)</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阴离子合成洗涤剂(以十二烷基苯磺酸钠计)、大肠菌群</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复用餐饮具(集中清洗消毒服务单位消毒)</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较高</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阴离子合成洗涤剂(以十二烷基苯磺酸钠计)、大肠菌群</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bl>
    <w:p>
      <w:pPr>
        <w:pStyle w:val="16"/>
        <w:jc w:val="center"/>
        <w:rPr>
          <w:rFonts w:hint="default"/>
          <w:b/>
          <w:bCs/>
          <w:color w:val="000000"/>
          <w:kern w:val="0"/>
          <w:sz w:val="36"/>
          <w:szCs w:val="36"/>
          <w:lang w:val="en-US" w:eastAsia="zh-CN"/>
        </w:rPr>
      </w:pPr>
    </w:p>
    <w:p>
      <w:pPr>
        <w:rPr>
          <w:color w:val="000000"/>
        </w:rPr>
      </w:pPr>
      <w:r>
        <w:rPr>
          <w:color w:val="000000"/>
        </w:rPr>
        <w:br w:type="page"/>
      </w:r>
      <w:r>
        <w:rPr>
          <w:rFonts w:hint="eastAsia" w:ascii="宋体" w:hAnsi="宋体" w:eastAsia="宋体" w:cs="宋体"/>
          <w:b/>
          <w:bCs/>
          <w:i w:val="0"/>
          <w:iCs w:val="0"/>
          <w:color w:val="000000"/>
          <w:kern w:val="0"/>
          <w:sz w:val="36"/>
          <w:szCs w:val="36"/>
          <w:u w:val="none"/>
          <w:lang w:val="en-US" w:eastAsia="zh-CN" w:bidi="ar"/>
        </w:rPr>
        <w:t>2024年市、县（区）食用农产品必检品种和项目表</w:t>
      </w:r>
    </w:p>
    <w:tbl>
      <w:tblPr>
        <w:tblStyle w:val="31"/>
        <w:tblW w:w="95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989"/>
        <w:gridCol w:w="1188"/>
        <w:gridCol w:w="879"/>
        <w:gridCol w:w="1392"/>
        <w:gridCol w:w="3327"/>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食品大类</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食品亚类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(二级)</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食品品种</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(三级)</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食品细类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(四级)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必检项目</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可选项目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食用农产品</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畜禽肉及</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副产品</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畜肉</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猪肉</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五氯酚酸钠(以五氯酚计)、恩诺沙星、磺胺类(总量)</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呋喃唑酮代谢物、呋喃西林代谢物、氯霉素、克伦特罗、莱克多巴胺、沙丁胺醇、喹乙醇、替米考星、甲氧苄啶、氟苯尼考、多西环素、地塞米松、甲硝唑、氯丙嗪、土霉素/金霉素/四环素(组合含量)</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牛肉</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五氯酚酸钠(以五氯酚计)、克伦特罗</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水分、呋喃唑酮代谢物、呋喃西林代谢物、氯霉素、莱克多巴胺、沙丁胺醇、恩诺沙星、磺胺类(总量)、甲氧苄啶、氟苯尼考、多西环素、地塞米松、林可霉素、倍他米松、土霉素/金霉素/四环素(组合含量)</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羊肉</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克伦特罗、磺胺类(总量)</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呋喃唑酮代谢物、呋喃西林代谢物、氯霉素、五氯酚酸钠(以五氯酚计)、莱克多巴胺、沙丁胺醇、恩诺沙星、氟苯尼考、林可霉素、环丙氨嗪、土霉素/金霉素/四环素(组合含量)</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禽肉</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鸡肉</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五氯酚酸钠(以五氯酚计)、氧氟沙星</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呋喃唑酮代谢物、呋喃西林代谢物、呋喃它酮代谢物,氯霉素、恩诺沙星、培氟沙星、诺氟沙星、沙拉沙星、替米考星、磺胺类(总量)、甲氧苄啶、氟苯尼考、多西环素、甲硝唑、尼卡巴嗪、环丙氨嗪、土霉素/金霉素/四环素(组合含量)</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豆类蔬菜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菜豆</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噻虫胺</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吡虫啉、毒死蜱、多菌灵、甲氨基阿维菌素苯甲酸盐、甲胺磷、克百威、氯氟氰菊酯和高效氯氟氰菊酯、灭蝇胺、三唑磷、水胺硫磷、氧乐果、乙酰甲胺磷、乐果</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豇豆</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倍硫磷、灭蝇胺、噻虫胺、噻虫嗪</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啶虫脒、毒死蜱、氟虫腈、甲氨基阿维菌素苯甲酸盐、甲胺磷、甲拌磷、甲基异柳磷、克百威、乐果、氯氟氰菊酯和高效氯氟氰菊酯、氯唑磷、灭多威、三唑磷、水胺硫磷、氧乐果、乙酰甲胺磷、氯氰菊酯和高效氯氰菊酯</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食用农产品</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豆芽</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豆芽</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4-氯苯氧乙酸钠(以4-氯苯氧乙酸计)、</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6-苄基腺嘌呤(6-BA)</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铅(以Pb计)、亚硫酸盐(以SO₂计)、总汞(以Hg计)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根茎类和薯</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芋类蔬菜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姜</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铅(以Pb计)、噻虫胺、噻虫嗪、毒死蜱</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吡虫啉、敌敌畏、二氧化硫残留量、镉(以Cd计)、甲拌磷、克百威、六六六、氯氟氰菊酯和高效氯氟氰菊酯、氯氰菊酯和高效氯氰菊酯、氯唑磷、氧乐果</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山药</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咪鲜胺和咪鲜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胺锰盐</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毒死蜱、克百威、氯氟氰菊酯和高效氯氟氰菊酯、铅(以Pb计)、涕灭威</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鳞茎类蔬菜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葱</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噻虫嗪</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丙环唑、毒死蜱、镉(以Cd计)、甲拌磷、甲基异柳磷、克百威、氯氟氰菊酯和高效氯氟氰菊酯、铅(以Pb计)、三唑磷、水胺硫磷、戊唑醇、氧乐果、灭线磷、辛硫磷</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韭菜</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毒死蜱、镉</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(以Cd计)</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敌敌畏、多菌灵、二甲戊灵、氟虫腈、腐霉利、甲胺磷、甲拌磷、甲基异柳磷、克百威、乐果、六六六、氯氟氰菊酯和高效氯氟氰菊酯、氯氰菊酯和高效氯氰菊酯、铅(以Pb计)、三唑磷、水胺硫磷、辛硫磷、氧乐果、乙酰甲胺磷、啶虫脒、铬(以Cr计)、异菌脲</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茄果类蔬菜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辣椒</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毒死蜱、镉(以Cd计)、噻虫胺、啶虫脒</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倍硫磷、吡虫啉、吡唑醚菌酯、敌敌畏、氟虫腈、甲氨基阿维菌素苯甲酸盐、甲胺磷、甲拌磷、克百威、乐果、联苯菊酯、氯氟氰菊酯和高效氯氟氰菊酯、铅(以Pb计)、噻虫嗪、三唑磷、杀扑磷、水胺硫磷、氧乐果、乙酰甲胺磷、苯醚甲环唑、丙溴磷、呋虫胺、铬(以Cr计)、甲氰菊酯、氯氰菊酯和高效氯氰菊酯、灭线磷</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茄子</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镉(以Cd计)、噻虫胺</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吡唑醚菌酯、毒死蜱、氟虫腈、甲氨基阿维菌素苯甲酸盐、甲胺磷、甲拌磷、克百威、铅(以Pb计)、噻虫嗪、霜霉威和霜霉威盐酸盐、水胺硫磷、氧乐果、乙酰甲胺磷、甲氰菊酯</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甜椒</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噻虫胺</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阿维菌素、倍硫磷、吡虫啉、吡唑醚菌酯、毒死蜱、氟虫腈、镉</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w:t>
            </w:r>
            <w:r>
              <w:rPr>
                <w:rFonts w:hint="default" w:ascii="Times New Roman" w:hAnsi="Times New Roman" w:eastAsia="宋体" w:cs="Times New Roman"/>
                <w:i w:val="0"/>
                <w:iCs w:val="0"/>
                <w:color w:val="000000"/>
                <w:kern w:val="0"/>
                <w:sz w:val="18"/>
                <w:szCs w:val="18"/>
                <w:u w:val="none"/>
                <w:lang w:val="en-US" w:eastAsia="zh-CN" w:bidi="ar"/>
              </w:rPr>
              <w:t>Cd</w:t>
            </w:r>
            <w:r>
              <w:rPr>
                <w:rFonts w:hint="eastAsia" w:ascii="Times New Roman" w:hAnsi="Times New Roman" w:eastAsia="宋体" w:cs="Times New Roman"/>
                <w:i w:val="0"/>
                <w:iCs w:val="0"/>
                <w:color w:val="000000"/>
                <w:kern w:val="0"/>
                <w:sz w:val="18"/>
                <w:szCs w:val="18"/>
                <w:u w:val="none"/>
                <w:lang w:val="en-US" w:eastAsia="zh-CN" w:bidi="ar"/>
              </w:rPr>
              <w:t>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、克百威、噻虫嗪、水胺硫磷、氧乐果、啶虫脒、铅</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w:t>
            </w:r>
            <w:r>
              <w:rPr>
                <w:rFonts w:hint="default" w:ascii="Times New Roman" w:hAnsi="Times New Roman" w:eastAsia="宋体" w:cs="Times New Roman"/>
                <w:i w:val="0"/>
                <w:iCs w:val="0"/>
                <w:color w:val="000000"/>
                <w:kern w:val="0"/>
                <w:sz w:val="18"/>
                <w:szCs w:val="18"/>
                <w:u w:val="none"/>
                <w:lang w:val="en-US" w:eastAsia="zh-CN" w:bidi="ar"/>
              </w:rPr>
              <w:t>Pb</w:t>
            </w:r>
            <w:r>
              <w:rPr>
                <w:rFonts w:hint="eastAsia" w:ascii="Times New Roman" w:hAnsi="Times New Roman" w:eastAsia="宋体" w:cs="Times New Roman"/>
                <w:i w:val="0"/>
                <w:iCs w:val="0"/>
                <w:color w:val="000000"/>
                <w:kern w:val="0"/>
                <w:sz w:val="18"/>
                <w:szCs w:val="18"/>
                <w:u w:val="none"/>
                <w:lang w:val="en-US" w:eastAsia="zh-CN" w:bidi="ar"/>
              </w:rPr>
              <w:t>计</w:t>
            </w:r>
            <w:r>
              <w:rPr>
                <w:rFonts w:hint="default" w:ascii="Times New Roman" w:hAnsi="Times New Roman" w:eastAsia="宋体" w:cs="Times New Roman"/>
                <w:i w:val="0"/>
                <w:iCs w:val="0"/>
                <w:color w:val="000000"/>
                <w:kern w:val="0"/>
                <w:sz w:val="18"/>
                <w:szCs w:val="18"/>
                <w:u w:val="none"/>
                <w:lang w:val="en-US" w:eastAsia="zh-CN"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食用农产品</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蔬菜</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叶菜类蔬菜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菠菜</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毒死蜱、铬(以Cr计)</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阿维菌素、氟虫腈、腐霉利、镉(以Cd计)、甲氨基阿维菌素苯甲酸盐、甲拌磷、克百威、乐果、六六六、氯氟氰菊酯和高效氯氟氰菊酯、氯氰菊酯和高效氯氰菊酯、铅(以Pb计)、氧乐果、乙酰甲胺磷</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芹菜</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毒死蜱、噻虫胺、甲拌磷</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百菌清、苯醚甲环唑、敌敌畏、啶虫脒、二甲戊灵、氟虫腈、镉(以Cd计)、甲基异柳磷、腈菌唑、克百威、乐果、氯氟氰菊酯和高效氯氟氰菊酯、铅(以Pb计)、噻虫嗪、三氯杀螨醇、水胺硫磷、辛硫磷、氧乐果、乙酰甲胺磷</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水产品</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淡水产品</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淡水鱼</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恩诺沙星、孔雀石绿、地西泮</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挥发性盐基氮、多氯联苯、镉(以Cd计)、氯霉素、氟苯尼考、呋喃唑酮代谢物、呋喃西林代谢物、呋喃妥因代谢物、磺胺类(总量)、甲氧苄啶、甲硝唑、五氯酚酸钠(以五氯酚计)、氧氟沙星、诺氟沙星、培氟沙星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淡水虾</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恩诺沙星</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镉(以Cd计)、孔雀石绿、氯霉素、呋喃唑酮代谢物、呋喃妥因代谢物、磺胺类(总量)、土霉素/金霉素/四环素(组合含量)、五氯酚酸钠(以五氯酚计)、氧氟沙星、诺氟沙星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7"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海水产品</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海水鱼</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恩诺沙星</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挥发性盐基氮、组胺、镉(以Cd计)、多氯联苯、孔雀石绿、氯霉素、呋喃唑酮代谢物、呋喃它酮代谢物、呋喃西林代谢物、磺胺类(总量)、土霉素/金霉素/四环素(组合含量)、甲氧苄啶、甲硝唑、五氯酚酸钠(以五氯酚计)、氧氟沙星、培氟沙星、诺氟沙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其他水产品</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其他水产</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重点</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品种：牛</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蛙</w:t>
            </w:r>
            <w:r>
              <w:rPr>
                <w:rFonts w:hint="default" w:ascii="Times New Roman" w:hAnsi="Times New Roman" w:eastAsia="宋体" w:cs="Times New Roman"/>
                <w:i w:val="0"/>
                <w:iCs w:val="0"/>
                <w:color w:val="000000"/>
                <w:kern w:val="0"/>
                <w:sz w:val="18"/>
                <w:szCs w:val="18"/>
                <w:u w:val="none"/>
                <w:lang w:val="en-US" w:eastAsia="zh-CN" w:bidi="ar"/>
              </w:rPr>
              <w:t>)</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恩诺沙星a、呋喃唑酮代谢物、呋喃西林代谢物</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镉(以Cd计)b、孔雀石绿、氯霉素、呋喃妥因代谢物、磺胺类(总量)a、氟苯尼考a、甲硝唑a、氧氟沙星、诺氟沙星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a.仅蛙科、鳖科食品</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动物检测；</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b.限头足类、腹足类</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、棘皮类检测。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水果类</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柑橘类水果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柑、橘</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苯醚甲环唑、丙溴磷、联苯菊酯</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克百威、氯唑磷、三唑磷、水胺硫磷、氧乐果、氯氟氰菊酯和高效氯氟氰菊酯、甲拌磷、2,4-滴和2,4-滴钠盐、狄氏剂、毒死蜱、杀扑磷</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食用农产品</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水果类</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浆果和其他</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小型水果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草莓</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烯酰吗啉</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阿维菌素、敌敌畏、多菌灵、克百威、氧乐果、戊菌唑、吡虫啉、乙酰甲胺磷</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猕猴桃</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氯吡脲</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敌敌畏、多菌灵、氧乐果</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桑甚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脱氢乙酸及其钠盐</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以脱氢乙酸计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、糖精钠</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以糖精计</w:t>
            </w:r>
            <w:r>
              <w:rPr>
                <w:rFonts w:hint="default" w:ascii="Times New Roman" w:hAnsi="Times New Roman" w:eastAsia="宋体" w:cs="Times New Roman"/>
                <w:i w:val="0"/>
                <w:iCs w:val="0"/>
                <w:color w:val="000000"/>
                <w:kern w:val="0"/>
                <w:sz w:val="18"/>
                <w:szCs w:val="18"/>
                <w:u w:val="none"/>
                <w:lang w:val="en-US" w:eastAsia="zh-CN" w:bidi="ar"/>
              </w:rPr>
              <w:t>)</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以苯甲酸计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、山梨酸及其钾盐</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以山梨酸计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、三氯蔗糖、甜蜜素</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以环己基氨基磺酸计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、多菌灵</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热带和亚热</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带水果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荔枝</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吡唑醚菌酯、氯氟氰菊酯和高效氯氟氰菊酯</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多菌灵、氧乐果、毒死蜱、苯醚甲环唑、氯氰菊酯和高效氯氰菊酯、除虫脲、氰霜唑、氟吗啉</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芒果</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吡唑醚菌酯、噻虫胺</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苯醚甲环唑、多菌灵、戊唑醇、氧乐果、乙酰甲胺磷、吡虫啉、噻虫嗪、噻嗪酮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香蕉</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吡虫啉、噻虫</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胺、噻虫嗪、</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腈苯唑</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苯醚甲环唑、吡唑醚菌酯、多菌灵、氟虫腈、甲拌磷、氟环唑、联苯菊酯、烯唑醇、百菌清、噻唑膦、狄氏剂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杨梅</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脱氢乙酸及其钠盐</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以脱氢乙酸计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、糖精钠</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以糖精计</w:t>
            </w:r>
            <w:r>
              <w:rPr>
                <w:rFonts w:hint="default" w:ascii="Times New Roman" w:hAnsi="Times New Roman" w:eastAsia="宋体" w:cs="Times New Roman"/>
                <w:i w:val="0"/>
                <w:iCs w:val="0"/>
                <w:color w:val="000000"/>
                <w:kern w:val="0"/>
                <w:sz w:val="18"/>
                <w:szCs w:val="18"/>
                <w:u w:val="none"/>
                <w:lang w:val="en-US" w:eastAsia="zh-CN" w:bidi="ar"/>
              </w:rPr>
              <w:t>)</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苯甲酸及其钠盐(以苯甲酸计)、山梨酸及其钾盐(以山梨酸计)、三氯蔗糖、甜蜜素(以环己基氨基磺酸计)、敌敌畏、氧乐果</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鲜蛋</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鸡蛋</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甲硝唑、甲氧苄啶、多西环素</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地美硝唑、呋喃唑酮代谢物、氟虫腈、氯霉素、氟苯尼考、甲砜霉素、恩诺沙星、氧氟沙星、沙拉沙星、磺胺类(总量)、地克珠利、托曲珠利</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与籽类食</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品</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生干坚果与</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籽类食品</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生干籽类</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酸价</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以脂肪计</w:t>
            </w:r>
            <w:r>
              <w:rPr>
                <w:rFonts w:hint="default" w:ascii="Times New Roman" w:hAnsi="Times New Roman" w:eastAsia="宋体" w:cs="Times New Roman"/>
                <w:i w:val="0"/>
                <w:iCs w:val="0"/>
                <w:color w:val="000000"/>
                <w:kern w:val="0"/>
                <w:sz w:val="18"/>
                <w:szCs w:val="18"/>
                <w:u w:val="none"/>
                <w:lang w:val="en-US" w:eastAsia="zh-CN" w:bidi="ar"/>
              </w:rPr>
              <w:t>)(KOH)</w:t>
            </w:r>
            <w:r>
              <w:rPr>
                <w:rFonts w:hint="eastAsia" w:ascii="Times New Roman" w:hAnsi="Times New Roman" w:eastAsia="宋体" w:cs="Times New Roman"/>
                <w:i w:val="0"/>
                <w:iCs w:val="0"/>
                <w:color w:val="000000"/>
                <w:kern w:val="0"/>
                <w:sz w:val="18"/>
                <w:szCs w:val="18"/>
                <w:u w:val="none"/>
                <w:lang w:val="en-US" w:eastAsia="zh-CN" w:bidi="ar"/>
              </w:rPr>
              <w:t>、黄曲霉毒素</w:t>
            </w:r>
            <w:r>
              <w:rPr>
                <w:rFonts w:hint="default" w:ascii="Times New Roman" w:hAnsi="Times New Roman" w:eastAsia="宋体" w:cs="Times New Roman"/>
                <w:i w:val="0"/>
                <w:iCs w:val="0"/>
                <w:color w:val="000000"/>
                <w:kern w:val="0"/>
                <w:sz w:val="18"/>
                <w:szCs w:val="18"/>
                <w:u w:val="none"/>
                <w:lang w:val="en-US" w:eastAsia="zh-CN" w:bidi="ar"/>
              </w:rPr>
              <w:t>B</w:t>
            </w:r>
            <w:r>
              <w:rPr>
                <w:rFonts w:hint="eastAsia" w:ascii="Times New Roman" w:hAnsi="Times New Roman" w:eastAsia="宋体" w:cs="Times New Roman"/>
                <w:i w:val="0"/>
                <w:iCs w:val="0"/>
                <w:color w:val="000000"/>
                <w:kern w:val="0"/>
                <w:sz w:val="18"/>
                <w:szCs w:val="18"/>
                <w:u w:val="none"/>
                <w:lang w:val="en-US" w:eastAsia="zh-CN" w:bidi="ar"/>
              </w:rPr>
              <w:t>1</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Times New Roman" w:hAnsi="Times New Roman" w:eastAsia="宋体" w:cs="Times New Roman"/>
                <w:i w:val="0"/>
                <w:iCs w:val="0"/>
                <w:color w:val="000000"/>
                <w:kern w:val="0"/>
                <w:sz w:val="18"/>
                <w:szCs w:val="18"/>
                <w:u w:val="none"/>
                <w:lang w:val="en-US" w:eastAsia="zh-CN" w:bidi="ar"/>
              </w:rPr>
              <w:t>重点品</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种：花生</w:t>
            </w:r>
            <w:r>
              <w:rPr>
                <w:rFonts w:hint="default" w:ascii="Times New Roman" w:hAnsi="Times New Roman" w:eastAsia="宋体" w:cs="Times New Roman"/>
                <w:i w:val="0"/>
                <w:iCs w:val="0"/>
                <w:color w:val="000000"/>
                <w:kern w:val="0"/>
                <w:sz w:val="18"/>
                <w:szCs w:val="18"/>
                <w:u w:val="none"/>
                <w:lang w:val="en-US" w:eastAsia="zh-CN" w:bidi="ar"/>
              </w:rPr>
              <w:t>)</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过氧化值(以脂肪计)、铅(以Pb计)、镉(以Cd计)、噻虫嗪</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仅花生检测黄曲霉</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毒素</w:t>
            </w:r>
            <w:r>
              <w:rPr>
                <w:rFonts w:hint="default" w:ascii="Times New Roman" w:hAnsi="Times New Roman" w:eastAsia="宋体" w:cs="Times New Roman"/>
                <w:i w:val="0"/>
                <w:iCs w:val="0"/>
                <w:color w:val="000000"/>
                <w:kern w:val="0"/>
                <w:sz w:val="18"/>
                <w:szCs w:val="18"/>
                <w:u w:val="none"/>
                <w:lang w:val="en-US" w:eastAsia="zh-CN" w:bidi="ar"/>
              </w:rPr>
              <w:t>B</w:t>
            </w:r>
            <w:r>
              <w:rPr>
                <w:rFonts w:hint="eastAsia" w:ascii="Times New Roman" w:hAnsi="Times New Roman" w:eastAsia="宋体" w:cs="Times New Roman"/>
                <w:i w:val="0"/>
                <w:iCs w:val="0"/>
                <w:color w:val="000000"/>
                <w:kern w:val="0"/>
                <w:sz w:val="18"/>
                <w:szCs w:val="18"/>
                <w:u w:val="none"/>
                <w:lang w:val="en-US" w:eastAsia="zh-CN" w:bidi="ar"/>
              </w:rPr>
              <w:t>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9554" w:type="dxa"/>
            <w:gridSpan w:val="7"/>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注：1.部分项目检测结果说明：恩诺沙星检验结果以恩诺沙星与环丙沙星之和计；孔雀石绿检验结果以孔雀石绿与隐色孔雀石绿之和计，以孔雀石绿表示；磺胺类（总量）包含的具体磺胺药物按国家食品安全监督抽检实施细则（2024年版）中相应食品类别要求检验。</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2.酸价、过氧化值依据GB19300判定时，样品前处理按该标准附录B规定：脂肪含量低的莲子、板栗类等食品，其酸价、过氧化值不作要求；其中芝麻的酸价不纳入2023年监督抽检。</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3.海水蟹、虾姑中镉(以Cd计)仅限生产日期在2023年6月30日（含）之后的产品检测。</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4.选检项目选择原则：</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1）金刚烷胺、利巴韦林等药物在相关限量标准发布实施前不得纳入监督抽检，鉴于检测方法等问题，虾、蟹中呋喃西林代谢物不得纳入监督抽检。</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2）可选项目应根据当地农业投入品使用情况及既往抽检不合格、当地舆情情况选择，如在本表选检项目之外确定检测项目时，应注意：农药残留项目在GB2763-2021、GB2763.1-2022标准中有该品种最大允许残留限量及相应指定检测方法：兽药项目在GB31650-2019、GB31650.1-2022有该动物类别相应组织部位的允许限量，或农业农村部公告250号有禁用要求，且有适用检测方法（检测范围应包含该动物相应组织部位），符合上述要求的农兽药项目方可纳入监督抽检。</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5因生干籽类细类中包含除重点品种花生外的其他生于籽类产品，其他水产品中包含除重点品种牛蛙、鱿鱼外的其他水产品，因此"国抽信息系统"不作必检项限制，但各承检机构应按承检区域必检项目要求实施检验，不得漏检漏报。</w:t>
            </w:r>
            <w:r>
              <w:rPr>
                <w:rFonts w:hint="eastAsia" w:ascii="Times New Roman" w:hAnsi="Times New Roman" w:eastAsia="宋体" w:cs="Times New Roman"/>
                <w:i w:val="0"/>
                <w:iCs w:val="0"/>
                <w:color w:val="000000"/>
                <w:kern w:val="0"/>
                <w:sz w:val="18"/>
                <w:szCs w:val="18"/>
                <w:u w:val="none"/>
                <w:lang w:val="en-US" w:eastAsia="zh-CN" w:bidi="ar"/>
              </w:rPr>
              <w:br w:type="textWrapping"/>
            </w:r>
            <w:r>
              <w:rPr>
                <w:rFonts w:hint="eastAsia" w:ascii="Times New Roman" w:hAnsi="Times New Roman" w:eastAsia="宋体" w:cs="Times New Roman"/>
                <w:i w:val="0"/>
                <w:iCs w:val="0"/>
                <w:color w:val="000000"/>
                <w:kern w:val="0"/>
                <w:sz w:val="18"/>
                <w:szCs w:val="18"/>
                <w:u w:val="none"/>
                <w:lang w:val="en-US" w:eastAsia="zh-CN" w:bidi="ar"/>
              </w:rPr>
              <w:t>6.抽样前，应制定抽样方案，抽取样品量、检验及复检备份所需样品量应根据采用的检测方法标准要求确定。</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7.2024年3月6日(含)起，铅(以Pb计)应采用GB5009.12-2023检测，镉(以Cd计)应采用GB5009.15-2023检测，铬(以Cr计)应采用GB 5009.123-2023检测，过氧化值(以脂肪计)应采用GB 5009.227-2023检测，三氯蔗糖应采用GB 5009.298-2023检测，甜蜜素(以环己基氨基磺酸计)限2024年3月6日(含)之后检测。</w:t>
            </w:r>
          </w:p>
        </w:tc>
      </w:tr>
    </w:tbl>
    <w:p>
      <w:pPr>
        <w:rPr>
          <w:color w:val="000000"/>
        </w:rPr>
      </w:pPr>
    </w:p>
    <w:sectPr>
      <w:pgSz w:w="11907" w:h="16840"/>
      <w:pgMar w:top="1440" w:right="1797" w:bottom="1440" w:left="1797" w:header="709"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rPr>
        <w:rStyle w:val="34"/>
      </w:rPr>
      <w:instrText xml:space="preserve"> PAGE </w:instrText>
    </w:r>
    <w:r>
      <w:fldChar w:fldCharType="separate"/>
    </w:r>
    <w:r>
      <w:rPr>
        <w:rStyle w:val="34"/>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rPr>
        <w:rStyle w:val="34"/>
      </w:rPr>
      <w:instrText xml:space="preserve"> PAGE </w:instrText>
    </w:r>
    <w:r>
      <w:fldChar w:fldCharType="separate"/>
    </w:r>
    <w:r>
      <w:rPr>
        <w:rStyle w:val="34"/>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337"/>
        <w:tab w:val="right" w:pos="8364"/>
        <w:tab w:val="clear" w:pos="8306"/>
      </w:tabs>
      <w:wordWrap w:val="0"/>
      <w:ind w:right="-7"/>
      <w:jc w:val="left"/>
      <w:rPr>
        <w:rFonts w:hint="eastAsia" w:eastAsia="宋体"/>
        <w:kern w:val="0"/>
        <w:lang w:eastAsia="zh-CN"/>
      </w:rPr>
    </w:pPr>
    <w:r>
      <w:rPr>
        <w:rFonts w:hint="eastAsia"/>
        <w:kern w:val="0"/>
      </w:rPr>
      <w:t>山西省国际招标有限公司                                          项目编号：</w:t>
    </w:r>
    <w:r>
      <w:rPr>
        <w:rFonts w:hint="eastAsia"/>
        <w:kern w:val="0"/>
        <w:lang w:eastAsia="zh-CN"/>
      </w:rPr>
      <w:t>1401062024CCS00032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337"/>
        <w:tab w:val="right" w:pos="8364"/>
        <w:tab w:val="clear" w:pos="8306"/>
      </w:tabs>
      <w:wordWrap w:val="0"/>
      <w:ind w:right="-7"/>
      <w:jc w:val="left"/>
      <w:rPr>
        <w:rFonts w:hint="eastAsia" w:eastAsia="宋体"/>
        <w:kern w:val="0"/>
        <w:lang w:eastAsia="zh-CN"/>
      </w:rPr>
    </w:pPr>
    <w:r>
      <w:rPr>
        <w:rFonts w:hint="eastAsia"/>
        <w:kern w:val="0"/>
      </w:rPr>
      <w:t xml:space="preserve">山西省国际招标有限公司                                       </w:t>
    </w:r>
    <w:r>
      <w:rPr>
        <w:rFonts w:hint="eastAsia"/>
        <w:kern w:val="0"/>
        <w:lang w:val="en-US" w:eastAsia="zh-CN"/>
      </w:rPr>
      <w:t xml:space="preserve">  </w:t>
    </w:r>
    <w:r>
      <w:rPr>
        <w:rFonts w:hint="eastAsia"/>
        <w:kern w:val="0"/>
      </w:rPr>
      <w:t>项目编号：</w:t>
    </w:r>
    <w:r>
      <w:rPr>
        <w:rFonts w:hint="eastAsia"/>
        <w:kern w:val="0"/>
        <w:lang w:eastAsia="zh-CN"/>
      </w:rPr>
      <w:t>1401062024CCS00032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CBE2D3"/>
    <w:multiLevelType w:val="singleLevel"/>
    <w:tmpl w:val="FCCBE2D3"/>
    <w:lvl w:ilvl="0" w:tentative="0">
      <w:start w:val="1"/>
      <w:numFmt w:val="decimal"/>
      <w:lvlText w:val="(%1)"/>
      <w:lvlJc w:val="left"/>
      <w:pPr>
        <w:ind w:left="425" w:hanging="425"/>
      </w:pPr>
      <w:rPr>
        <w:rFonts w:hint="default"/>
      </w:rPr>
    </w:lvl>
  </w:abstractNum>
  <w:abstractNum w:abstractNumId="1">
    <w:nsid w:val="31820DF2"/>
    <w:multiLevelType w:val="multilevel"/>
    <w:tmpl w:val="31820DF2"/>
    <w:lvl w:ilvl="0" w:tentative="0">
      <w:start w:val="1"/>
      <w:numFmt w:val="bullet"/>
      <w:pStyle w:val="72"/>
      <w:lvlText w:val=""/>
      <w:lvlJc w:val="left"/>
      <w:pPr>
        <w:ind w:left="1400" w:hanging="420"/>
      </w:pPr>
      <w:rPr>
        <w:rFonts w:hint="default" w:ascii="Wingdings" w:hAnsi="Wingdings"/>
      </w:rPr>
    </w:lvl>
    <w:lvl w:ilvl="1" w:tentative="0">
      <w:start w:val="1"/>
      <w:numFmt w:val="bullet"/>
      <w:lvlText w:val=""/>
      <w:lvlJc w:val="left"/>
      <w:pPr>
        <w:ind w:left="1820" w:hanging="420"/>
      </w:pPr>
      <w:rPr>
        <w:rFonts w:hint="default" w:ascii="Wingdings" w:hAnsi="Wingdings"/>
      </w:rPr>
    </w:lvl>
    <w:lvl w:ilvl="2" w:tentative="0">
      <w:start w:val="1"/>
      <w:numFmt w:val="bullet"/>
      <w:lvlText w:val=""/>
      <w:lvlJc w:val="left"/>
      <w:pPr>
        <w:ind w:left="2240" w:hanging="420"/>
      </w:pPr>
      <w:rPr>
        <w:rFonts w:hint="default" w:ascii="Wingdings" w:hAnsi="Wingdings"/>
      </w:rPr>
    </w:lvl>
    <w:lvl w:ilvl="3" w:tentative="0">
      <w:start w:val="1"/>
      <w:numFmt w:val="bullet"/>
      <w:lvlText w:val=""/>
      <w:lvlJc w:val="left"/>
      <w:pPr>
        <w:ind w:left="2660" w:hanging="420"/>
      </w:pPr>
      <w:rPr>
        <w:rFonts w:hint="default" w:ascii="Wingdings" w:hAnsi="Wingdings"/>
      </w:rPr>
    </w:lvl>
    <w:lvl w:ilvl="4" w:tentative="0">
      <w:start w:val="1"/>
      <w:numFmt w:val="bullet"/>
      <w:lvlText w:val=""/>
      <w:lvlJc w:val="left"/>
      <w:pPr>
        <w:ind w:left="3080" w:hanging="420"/>
      </w:pPr>
      <w:rPr>
        <w:rFonts w:hint="default" w:ascii="Wingdings" w:hAnsi="Wingdings"/>
      </w:rPr>
    </w:lvl>
    <w:lvl w:ilvl="5" w:tentative="0">
      <w:start w:val="1"/>
      <w:numFmt w:val="bullet"/>
      <w:lvlText w:val=""/>
      <w:lvlJc w:val="left"/>
      <w:pPr>
        <w:ind w:left="3500" w:hanging="420"/>
      </w:pPr>
      <w:rPr>
        <w:rFonts w:hint="default" w:ascii="Wingdings" w:hAnsi="Wingdings"/>
      </w:rPr>
    </w:lvl>
    <w:lvl w:ilvl="6" w:tentative="0">
      <w:start w:val="1"/>
      <w:numFmt w:val="bullet"/>
      <w:lvlText w:val=""/>
      <w:lvlJc w:val="left"/>
      <w:pPr>
        <w:ind w:left="3920" w:hanging="420"/>
      </w:pPr>
      <w:rPr>
        <w:rFonts w:hint="default" w:ascii="Wingdings" w:hAnsi="Wingdings"/>
      </w:rPr>
    </w:lvl>
    <w:lvl w:ilvl="7" w:tentative="0">
      <w:start w:val="1"/>
      <w:numFmt w:val="bullet"/>
      <w:lvlText w:val=""/>
      <w:lvlJc w:val="left"/>
      <w:pPr>
        <w:ind w:left="4340" w:hanging="420"/>
      </w:pPr>
      <w:rPr>
        <w:rFonts w:hint="default" w:ascii="Wingdings" w:hAnsi="Wingdings"/>
      </w:rPr>
    </w:lvl>
    <w:lvl w:ilvl="8" w:tentative="0">
      <w:start w:val="1"/>
      <w:numFmt w:val="bullet"/>
      <w:lvlText w:val=""/>
      <w:lvlJc w:val="left"/>
      <w:pPr>
        <w:ind w:left="4760" w:hanging="420"/>
      </w:pPr>
      <w:rPr>
        <w:rFonts w:hint="default" w:ascii="Wingdings" w:hAnsi="Wingdings"/>
      </w:rPr>
    </w:lvl>
  </w:abstractNum>
  <w:abstractNum w:abstractNumId="2">
    <w:nsid w:val="70B83AD9"/>
    <w:multiLevelType w:val="singleLevel"/>
    <w:tmpl w:val="70B83AD9"/>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NzY4NTkyMTE2ODRiOTc1OWMzNThhOTExN2Y0MzIifQ=="/>
  </w:docVars>
  <w:rsids>
    <w:rsidRoot w:val="00985A55"/>
    <w:rsid w:val="00122BE5"/>
    <w:rsid w:val="001B6AE9"/>
    <w:rsid w:val="00247343"/>
    <w:rsid w:val="0038435F"/>
    <w:rsid w:val="004E0409"/>
    <w:rsid w:val="005E7343"/>
    <w:rsid w:val="0071414C"/>
    <w:rsid w:val="007C431A"/>
    <w:rsid w:val="00847DE1"/>
    <w:rsid w:val="00942CC4"/>
    <w:rsid w:val="00985A55"/>
    <w:rsid w:val="009D1AEA"/>
    <w:rsid w:val="00B264F0"/>
    <w:rsid w:val="00C37828"/>
    <w:rsid w:val="00CC50EC"/>
    <w:rsid w:val="01325A8F"/>
    <w:rsid w:val="01A548EC"/>
    <w:rsid w:val="026E26F8"/>
    <w:rsid w:val="04504BAA"/>
    <w:rsid w:val="062D50B6"/>
    <w:rsid w:val="0C114645"/>
    <w:rsid w:val="0DD8076D"/>
    <w:rsid w:val="0DF36AFF"/>
    <w:rsid w:val="10CC4BD8"/>
    <w:rsid w:val="10E0785E"/>
    <w:rsid w:val="11B106B8"/>
    <w:rsid w:val="11FA43A7"/>
    <w:rsid w:val="11FE7275"/>
    <w:rsid w:val="13D57B0D"/>
    <w:rsid w:val="18786807"/>
    <w:rsid w:val="18A727FA"/>
    <w:rsid w:val="1C98389B"/>
    <w:rsid w:val="1DD4085F"/>
    <w:rsid w:val="1F0C571A"/>
    <w:rsid w:val="21393E7A"/>
    <w:rsid w:val="220323AB"/>
    <w:rsid w:val="2262063B"/>
    <w:rsid w:val="23283FA8"/>
    <w:rsid w:val="233D2346"/>
    <w:rsid w:val="238B4600"/>
    <w:rsid w:val="25491167"/>
    <w:rsid w:val="26314855"/>
    <w:rsid w:val="273371F6"/>
    <w:rsid w:val="27422A77"/>
    <w:rsid w:val="27FC233B"/>
    <w:rsid w:val="286A598B"/>
    <w:rsid w:val="28B2405D"/>
    <w:rsid w:val="2A972CFF"/>
    <w:rsid w:val="2C130232"/>
    <w:rsid w:val="2F9723C0"/>
    <w:rsid w:val="309004CF"/>
    <w:rsid w:val="317A6513"/>
    <w:rsid w:val="31F34794"/>
    <w:rsid w:val="39B84665"/>
    <w:rsid w:val="3BD609E6"/>
    <w:rsid w:val="3CF4361D"/>
    <w:rsid w:val="40C003E6"/>
    <w:rsid w:val="42851552"/>
    <w:rsid w:val="459A5BC5"/>
    <w:rsid w:val="45A91659"/>
    <w:rsid w:val="465B64BB"/>
    <w:rsid w:val="483671E0"/>
    <w:rsid w:val="492509CD"/>
    <w:rsid w:val="4D7632DE"/>
    <w:rsid w:val="510E0CFA"/>
    <w:rsid w:val="515A4128"/>
    <w:rsid w:val="535673AF"/>
    <w:rsid w:val="54C7459E"/>
    <w:rsid w:val="56C44CD8"/>
    <w:rsid w:val="5B315D1A"/>
    <w:rsid w:val="5B5E2AE6"/>
    <w:rsid w:val="5CF20DC3"/>
    <w:rsid w:val="5D5412B2"/>
    <w:rsid w:val="5D5C1689"/>
    <w:rsid w:val="60AE7E03"/>
    <w:rsid w:val="631E4A40"/>
    <w:rsid w:val="6483570B"/>
    <w:rsid w:val="66356ED6"/>
    <w:rsid w:val="67AC2BC3"/>
    <w:rsid w:val="6AFE6DF4"/>
    <w:rsid w:val="6EBC383D"/>
    <w:rsid w:val="70433998"/>
    <w:rsid w:val="714479C8"/>
    <w:rsid w:val="71EC129E"/>
    <w:rsid w:val="737F20F8"/>
    <w:rsid w:val="76DF5548"/>
    <w:rsid w:val="77EB5E5E"/>
    <w:rsid w:val="78016613"/>
    <w:rsid w:val="789C69F1"/>
    <w:rsid w:val="7CD40F68"/>
    <w:rsid w:val="7E1F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99" w:name="table of authorities"/>
    <w:lsdException w:uiPriority="0" w:name="macro"/>
    <w:lsdException w:uiPriority="0" w:name="toa heading"/>
    <w:lsdException w:qFormat="1"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99" w:semiHidden="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autoRedefine/>
    <w:qFormat/>
    <w:uiPriority w:val="0"/>
    <w:pPr>
      <w:keepNext/>
      <w:keepLines/>
      <w:spacing w:before="260" w:after="260" w:line="500" w:lineRule="exact"/>
      <w:outlineLvl w:val="1"/>
    </w:pPr>
    <w:rPr>
      <w:rFonts w:ascii="Arial" w:hAnsi="Arial" w:eastAsia="黑体"/>
      <w:b/>
      <w:sz w:val="28"/>
      <w:szCs w:val="20"/>
    </w:rPr>
  </w:style>
  <w:style w:type="paragraph" w:styleId="5">
    <w:name w:val="heading 3"/>
    <w:basedOn w:val="1"/>
    <w:next w:val="1"/>
    <w:link w:val="41"/>
    <w:autoRedefine/>
    <w:qFormat/>
    <w:uiPriority w:val="0"/>
    <w:pPr>
      <w:keepNext/>
      <w:keepLines/>
      <w:spacing w:before="260" w:after="260" w:line="416" w:lineRule="auto"/>
      <w:outlineLvl w:val="2"/>
    </w:pPr>
    <w:rPr>
      <w:b/>
      <w:sz w:val="32"/>
      <w:szCs w:val="20"/>
    </w:rPr>
  </w:style>
  <w:style w:type="paragraph" w:styleId="6">
    <w:name w:val="heading 4"/>
    <w:basedOn w:val="1"/>
    <w:next w:val="1"/>
    <w:link w:val="42"/>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3"/>
    <w:autoRedefine/>
    <w:qFormat/>
    <w:uiPriority w:val="0"/>
    <w:pPr>
      <w:keepNext/>
      <w:keepLines/>
      <w:tabs>
        <w:tab w:val="left" w:pos="0"/>
      </w:tabs>
      <w:spacing w:before="280" w:after="290" w:line="377" w:lineRule="auto"/>
      <w:outlineLvl w:val="4"/>
    </w:pPr>
    <w:rPr>
      <w:rFonts w:ascii="Calibri" w:hAnsi="Calibri"/>
      <w:b/>
      <w:bCs/>
      <w:szCs w:val="28"/>
    </w:rPr>
  </w:style>
  <w:style w:type="paragraph" w:styleId="8">
    <w:name w:val="heading 6"/>
    <w:basedOn w:val="1"/>
    <w:next w:val="1"/>
    <w:link w:val="44"/>
    <w:autoRedefine/>
    <w:qFormat/>
    <w:uiPriority w:val="0"/>
    <w:pPr>
      <w:keepNext/>
      <w:keepLines/>
      <w:tabs>
        <w:tab w:val="left" w:pos="0"/>
      </w:tabs>
      <w:spacing w:before="240" w:after="64" w:line="319" w:lineRule="auto"/>
      <w:outlineLvl w:val="5"/>
    </w:pPr>
    <w:rPr>
      <w:rFonts w:ascii="Arial" w:hAnsi="Arial" w:eastAsia="华文中宋"/>
      <w:b/>
      <w:bCs/>
      <w:sz w:val="24"/>
      <w:szCs w:val="22"/>
    </w:rPr>
  </w:style>
  <w:style w:type="paragraph" w:styleId="9">
    <w:name w:val="heading 7"/>
    <w:basedOn w:val="1"/>
    <w:next w:val="1"/>
    <w:link w:val="45"/>
    <w:autoRedefine/>
    <w:qFormat/>
    <w:uiPriority w:val="0"/>
    <w:pPr>
      <w:keepNext/>
      <w:keepLines/>
      <w:tabs>
        <w:tab w:val="left" w:pos="3828"/>
      </w:tabs>
      <w:spacing w:before="240" w:after="64" w:line="319" w:lineRule="auto"/>
      <w:ind w:left="3402"/>
      <w:outlineLvl w:val="6"/>
    </w:pPr>
    <w:rPr>
      <w:rFonts w:ascii="Calibri" w:hAnsi="Calibri"/>
      <w:b/>
      <w:bCs/>
      <w:sz w:val="24"/>
      <w:szCs w:val="22"/>
    </w:rPr>
  </w:style>
  <w:style w:type="paragraph" w:styleId="10">
    <w:name w:val="heading 8"/>
    <w:basedOn w:val="1"/>
    <w:next w:val="1"/>
    <w:link w:val="46"/>
    <w:autoRedefine/>
    <w:qFormat/>
    <w:uiPriority w:val="0"/>
    <w:pPr>
      <w:keepNext/>
      <w:keepLines/>
      <w:tabs>
        <w:tab w:val="left" w:pos="4678"/>
      </w:tabs>
      <w:spacing w:before="240" w:after="64" w:line="319" w:lineRule="auto"/>
      <w:ind w:left="4253"/>
      <w:outlineLvl w:val="7"/>
    </w:pPr>
    <w:rPr>
      <w:rFonts w:ascii="Arial" w:hAnsi="Arial" w:eastAsia="黑体"/>
      <w:sz w:val="24"/>
      <w:szCs w:val="22"/>
    </w:rPr>
  </w:style>
  <w:style w:type="paragraph" w:styleId="11">
    <w:name w:val="heading 9"/>
    <w:basedOn w:val="1"/>
    <w:next w:val="1"/>
    <w:link w:val="47"/>
    <w:autoRedefine/>
    <w:qFormat/>
    <w:uiPriority w:val="0"/>
    <w:pPr>
      <w:keepNext/>
      <w:keepLines/>
      <w:tabs>
        <w:tab w:val="left" w:pos="5528"/>
      </w:tabs>
      <w:spacing w:before="240" w:after="64" w:line="319" w:lineRule="auto"/>
      <w:ind w:left="5103"/>
      <w:outlineLvl w:val="8"/>
    </w:pPr>
    <w:rPr>
      <w:rFonts w:ascii="Arial" w:hAnsi="Arial" w:eastAsia="黑体"/>
      <w:szCs w:val="21"/>
    </w:rPr>
  </w:style>
  <w:style w:type="character" w:default="1" w:styleId="33">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2">
    <w:name w:val="Message Header"/>
    <w:basedOn w:val="1"/>
    <w:autoRedefine/>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12">
    <w:name w:val="table of authorities"/>
    <w:basedOn w:val="1"/>
    <w:next w:val="1"/>
    <w:autoRedefine/>
    <w:semiHidden/>
    <w:qFormat/>
    <w:uiPriority w:val="99"/>
    <w:pPr>
      <w:ind w:left="420" w:leftChars="200"/>
    </w:pPr>
    <w:rPr>
      <w:sz w:val="32"/>
      <w:szCs w:val="32"/>
    </w:rPr>
  </w:style>
  <w:style w:type="paragraph" w:styleId="13">
    <w:name w:val="Normal Indent"/>
    <w:basedOn w:val="1"/>
    <w:autoRedefine/>
    <w:qFormat/>
    <w:uiPriority w:val="0"/>
    <w:pPr>
      <w:ind w:firstLine="420"/>
    </w:pPr>
    <w:rPr>
      <w:szCs w:val="20"/>
    </w:rPr>
  </w:style>
  <w:style w:type="paragraph" w:styleId="14">
    <w:name w:val="Document Map"/>
    <w:basedOn w:val="1"/>
    <w:link w:val="48"/>
    <w:autoRedefine/>
    <w:qFormat/>
    <w:uiPriority w:val="0"/>
    <w:rPr>
      <w:rFonts w:ascii="宋体"/>
      <w:sz w:val="18"/>
      <w:szCs w:val="18"/>
    </w:rPr>
  </w:style>
  <w:style w:type="paragraph" w:styleId="15">
    <w:name w:val="annotation text"/>
    <w:basedOn w:val="1"/>
    <w:link w:val="49"/>
    <w:autoRedefine/>
    <w:qFormat/>
    <w:uiPriority w:val="99"/>
    <w:pPr>
      <w:jc w:val="left"/>
    </w:pPr>
  </w:style>
  <w:style w:type="paragraph" w:styleId="16">
    <w:name w:val="Body Text"/>
    <w:basedOn w:val="1"/>
    <w:autoRedefine/>
    <w:unhideWhenUsed/>
    <w:qFormat/>
    <w:uiPriority w:val="99"/>
    <w:pPr>
      <w:spacing w:after="120"/>
    </w:pPr>
  </w:style>
  <w:style w:type="paragraph" w:styleId="17">
    <w:name w:val="Body Text Indent"/>
    <w:basedOn w:val="1"/>
    <w:link w:val="50"/>
    <w:autoRedefine/>
    <w:unhideWhenUsed/>
    <w:qFormat/>
    <w:uiPriority w:val="99"/>
    <w:pPr>
      <w:spacing w:line="420" w:lineRule="exact"/>
      <w:ind w:firstLine="732" w:firstLineChars="300"/>
    </w:pPr>
    <w:rPr>
      <w:spacing w:val="2"/>
      <w:sz w:val="24"/>
      <w:szCs w:val="20"/>
    </w:rPr>
  </w:style>
  <w:style w:type="paragraph" w:styleId="18">
    <w:name w:val="Plain Text"/>
    <w:basedOn w:val="1"/>
    <w:link w:val="51"/>
    <w:autoRedefine/>
    <w:qFormat/>
    <w:uiPriority w:val="0"/>
    <w:rPr>
      <w:rFonts w:ascii="宋体" w:hAnsi="Courier New" w:eastAsia="华文宋体"/>
      <w:sz w:val="28"/>
      <w:szCs w:val="20"/>
    </w:rPr>
  </w:style>
  <w:style w:type="paragraph" w:styleId="19">
    <w:name w:val="Balloon Text"/>
    <w:basedOn w:val="1"/>
    <w:link w:val="52"/>
    <w:autoRedefine/>
    <w:qFormat/>
    <w:uiPriority w:val="0"/>
    <w:rPr>
      <w:sz w:val="18"/>
      <w:szCs w:val="18"/>
    </w:rPr>
  </w:style>
  <w:style w:type="paragraph" w:styleId="20">
    <w:name w:val="footer"/>
    <w:basedOn w:val="1"/>
    <w:link w:val="53"/>
    <w:autoRedefine/>
    <w:qFormat/>
    <w:uiPriority w:val="0"/>
    <w:pPr>
      <w:tabs>
        <w:tab w:val="center" w:pos="4153"/>
        <w:tab w:val="right" w:pos="8306"/>
      </w:tabs>
      <w:snapToGrid w:val="0"/>
      <w:jc w:val="left"/>
    </w:pPr>
    <w:rPr>
      <w:sz w:val="18"/>
      <w:szCs w:val="18"/>
    </w:rPr>
  </w:style>
  <w:style w:type="paragraph" w:styleId="21">
    <w:name w:val="envelope return"/>
    <w:basedOn w:val="1"/>
    <w:autoRedefine/>
    <w:qFormat/>
    <w:uiPriority w:val="0"/>
    <w:pPr>
      <w:snapToGrid w:val="0"/>
    </w:pPr>
    <w:rPr>
      <w:rFonts w:ascii="Arial" w:hAnsi="Arial"/>
    </w:rPr>
  </w:style>
  <w:style w:type="paragraph" w:styleId="22">
    <w:name w:val="header"/>
    <w:basedOn w:val="1"/>
    <w:link w:val="54"/>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39"/>
    <w:pPr>
      <w:tabs>
        <w:tab w:val="right" w:leader="dot" w:pos="8303"/>
      </w:tabs>
      <w:snapToGrid w:val="0"/>
      <w:spacing w:line="360" w:lineRule="auto"/>
    </w:pPr>
  </w:style>
  <w:style w:type="paragraph" w:styleId="24">
    <w:name w:val="List"/>
    <w:basedOn w:val="1"/>
    <w:autoRedefine/>
    <w:unhideWhenUsed/>
    <w:qFormat/>
    <w:uiPriority w:val="99"/>
    <w:pPr>
      <w:ind w:left="420" w:hanging="420" w:firstLineChars="200"/>
      <w:jc w:val="left"/>
    </w:pPr>
    <w:rPr>
      <w:rFonts w:ascii="Arial" w:hAnsi="Arial" w:eastAsia="楷体_GB2312"/>
      <w:sz w:val="24"/>
    </w:rPr>
  </w:style>
  <w:style w:type="paragraph" w:styleId="25">
    <w:name w:val="toc 2"/>
    <w:basedOn w:val="1"/>
    <w:next w:val="1"/>
    <w:autoRedefine/>
    <w:qFormat/>
    <w:uiPriority w:val="39"/>
    <w:pPr>
      <w:ind w:left="420" w:leftChars="200"/>
    </w:pPr>
  </w:style>
  <w:style w:type="paragraph" w:styleId="26">
    <w:name w:val="Body Text 2"/>
    <w:basedOn w:val="1"/>
    <w:autoRedefine/>
    <w:qFormat/>
    <w:uiPriority w:val="0"/>
    <w:pPr>
      <w:spacing w:line="480" w:lineRule="auto"/>
    </w:pPr>
  </w:style>
  <w:style w:type="paragraph" w:styleId="27">
    <w:name w:val="HTML Preformatted"/>
    <w:basedOn w:val="1"/>
    <w:link w:val="55"/>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29">
    <w:name w:val="annotation subject"/>
    <w:basedOn w:val="15"/>
    <w:next w:val="15"/>
    <w:link w:val="56"/>
    <w:autoRedefine/>
    <w:qFormat/>
    <w:uiPriority w:val="0"/>
    <w:rPr>
      <w:b/>
      <w:bCs/>
    </w:rPr>
  </w:style>
  <w:style w:type="paragraph" w:styleId="30">
    <w:name w:val="Body Text First Indent 2"/>
    <w:basedOn w:val="17"/>
    <w:next w:val="1"/>
    <w:autoRedefine/>
    <w:qFormat/>
    <w:uiPriority w:val="0"/>
    <w:pPr>
      <w:spacing w:line="360" w:lineRule="auto"/>
      <w:ind w:firstLine="210" w:firstLineChars="200"/>
    </w:pPr>
    <w:rPr>
      <w:kern w:val="0"/>
    </w:rPr>
  </w:style>
  <w:style w:type="table" w:styleId="32">
    <w:name w:val="Table Grid"/>
    <w:basedOn w:val="3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basedOn w:val="33"/>
    <w:autoRedefine/>
    <w:qFormat/>
    <w:uiPriority w:val="0"/>
  </w:style>
  <w:style w:type="character" w:styleId="35">
    <w:name w:val="Hyperlink"/>
    <w:autoRedefine/>
    <w:qFormat/>
    <w:uiPriority w:val="99"/>
    <w:rPr>
      <w:color w:val="0000FF"/>
      <w:u w:val="single"/>
    </w:rPr>
  </w:style>
  <w:style w:type="character" w:styleId="36">
    <w:name w:val="annotation reference"/>
    <w:autoRedefine/>
    <w:qFormat/>
    <w:uiPriority w:val="99"/>
    <w:rPr>
      <w:sz w:val="21"/>
      <w:szCs w:val="21"/>
    </w:rPr>
  </w:style>
  <w:style w:type="paragraph" w:customStyle="1" w:styleId="37">
    <w:name w:val="正文首行缩进 21"/>
    <w:basedOn w:val="38"/>
    <w:autoRedefine/>
    <w:qFormat/>
    <w:uiPriority w:val="0"/>
    <w:pPr>
      <w:ind w:firstLine="420" w:firstLineChars="200"/>
    </w:pPr>
    <w:rPr>
      <w:sz w:val="28"/>
      <w:szCs w:val="20"/>
    </w:rPr>
  </w:style>
  <w:style w:type="paragraph" w:customStyle="1" w:styleId="38">
    <w:name w:val="正文文本缩进1"/>
    <w:basedOn w:val="1"/>
    <w:autoRedefine/>
    <w:qFormat/>
    <w:uiPriority w:val="0"/>
    <w:pPr>
      <w:ind w:left="420" w:leftChars="200"/>
    </w:pPr>
  </w:style>
  <w:style w:type="character" w:customStyle="1" w:styleId="39">
    <w:name w:val="标题 1 字符"/>
    <w:link w:val="3"/>
    <w:autoRedefine/>
    <w:qFormat/>
    <w:uiPriority w:val="0"/>
    <w:rPr>
      <w:b/>
      <w:bCs/>
      <w:kern w:val="44"/>
      <w:sz w:val="44"/>
      <w:szCs w:val="44"/>
    </w:rPr>
  </w:style>
  <w:style w:type="character" w:customStyle="1" w:styleId="40">
    <w:name w:val="标题 2 字符"/>
    <w:link w:val="4"/>
    <w:autoRedefine/>
    <w:qFormat/>
    <w:uiPriority w:val="0"/>
    <w:rPr>
      <w:rFonts w:ascii="Arial" w:hAnsi="Arial" w:eastAsia="黑体"/>
      <w:b/>
      <w:kern w:val="2"/>
      <w:sz w:val="28"/>
    </w:rPr>
  </w:style>
  <w:style w:type="character" w:customStyle="1" w:styleId="41">
    <w:name w:val="标题 3 字符"/>
    <w:link w:val="5"/>
    <w:autoRedefine/>
    <w:qFormat/>
    <w:uiPriority w:val="0"/>
    <w:rPr>
      <w:b/>
      <w:kern w:val="2"/>
      <w:sz w:val="32"/>
    </w:rPr>
  </w:style>
  <w:style w:type="character" w:customStyle="1" w:styleId="42">
    <w:name w:val="标题 4 字符"/>
    <w:link w:val="6"/>
    <w:autoRedefine/>
    <w:qFormat/>
    <w:uiPriority w:val="0"/>
    <w:rPr>
      <w:rFonts w:ascii="Arial" w:hAnsi="Arial" w:eastAsia="黑体"/>
      <w:b/>
      <w:bCs/>
      <w:kern w:val="2"/>
      <w:sz w:val="28"/>
      <w:szCs w:val="28"/>
    </w:rPr>
  </w:style>
  <w:style w:type="character" w:customStyle="1" w:styleId="43">
    <w:name w:val="标题 5 字符"/>
    <w:link w:val="7"/>
    <w:autoRedefine/>
    <w:qFormat/>
    <w:uiPriority w:val="0"/>
    <w:rPr>
      <w:rFonts w:ascii="Calibri" w:hAnsi="Calibri" w:cs="Times New Roman"/>
      <w:b/>
      <w:bCs/>
      <w:kern w:val="2"/>
      <w:sz w:val="21"/>
      <w:szCs w:val="28"/>
    </w:rPr>
  </w:style>
  <w:style w:type="character" w:customStyle="1" w:styleId="44">
    <w:name w:val="标题 6 字符"/>
    <w:link w:val="8"/>
    <w:autoRedefine/>
    <w:qFormat/>
    <w:uiPriority w:val="0"/>
    <w:rPr>
      <w:rFonts w:ascii="Arial" w:hAnsi="Arial" w:eastAsia="华文中宋" w:cs="Times New Roman"/>
      <w:b/>
      <w:bCs/>
      <w:kern w:val="2"/>
      <w:sz w:val="24"/>
      <w:szCs w:val="22"/>
    </w:rPr>
  </w:style>
  <w:style w:type="character" w:customStyle="1" w:styleId="45">
    <w:name w:val="标题 7 字符"/>
    <w:link w:val="9"/>
    <w:autoRedefine/>
    <w:qFormat/>
    <w:uiPriority w:val="0"/>
    <w:rPr>
      <w:rFonts w:ascii="Calibri" w:hAnsi="Calibri" w:eastAsia="宋体" w:cs="Times New Roman"/>
      <w:b/>
      <w:bCs/>
      <w:kern w:val="2"/>
      <w:sz w:val="24"/>
      <w:szCs w:val="22"/>
    </w:rPr>
  </w:style>
  <w:style w:type="character" w:customStyle="1" w:styleId="46">
    <w:name w:val="标题 8 字符"/>
    <w:link w:val="10"/>
    <w:autoRedefine/>
    <w:qFormat/>
    <w:uiPriority w:val="0"/>
    <w:rPr>
      <w:rFonts w:ascii="Arial" w:hAnsi="Arial" w:eastAsia="黑体" w:cs="Times New Roman"/>
      <w:kern w:val="2"/>
      <w:sz w:val="24"/>
      <w:szCs w:val="22"/>
    </w:rPr>
  </w:style>
  <w:style w:type="character" w:customStyle="1" w:styleId="47">
    <w:name w:val="标题 9 字符"/>
    <w:link w:val="11"/>
    <w:autoRedefine/>
    <w:qFormat/>
    <w:uiPriority w:val="0"/>
    <w:rPr>
      <w:rFonts w:ascii="Arial" w:hAnsi="Arial" w:eastAsia="黑体" w:cs="Times New Roman"/>
      <w:kern w:val="2"/>
      <w:sz w:val="21"/>
      <w:szCs w:val="21"/>
    </w:rPr>
  </w:style>
  <w:style w:type="character" w:customStyle="1" w:styleId="48">
    <w:name w:val="文档结构图 字符"/>
    <w:link w:val="14"/>
    <w:autoRedefine/>
    <w:qFormat/>
    <w:uiPriority w:val="0"/>
    <w:rPr>
      <w:rFonts w:ascii="宋体"/>
      <w:kern w:val="2"/>
      <w:sz w:val="18"/>
      <w:szCs w:val="18"/>
    </w:rPr>
  </w:style>
  <w:style w:type="character" w:customStyle="1" w:styleId="49">
    <w:name w:val="批注文字 字符"/>
    <w:link w:val="15"/>
    <w:autoRedefine/>
    <w:qFormat/>
    <w:uiPriority w:val="99"/>
    <w:rPr>
      <w:kern w:val="2"/>
      <w:sz w:val="21"/>
      <w:szCs w:val="24"/>
    </w:rPr>
  </w:style>
  <w:style w:type="character" w:customStyle="1" w:styleId="50">
    <w:name w:val="正文文本缩进 字符"/>
    <w:link w:val="17"/>
    <w:autoRedefine/>
    <w:qFormat/>
    <w:uiPriority w:val="99"/>
    <w:rPr>
      <w:spacing w:val="2"/>
      <w:kern w:val="2"/>
      <w:sz w:val="24"/>
    </w:rPr>
  </w:style>
  <w:style w:type="character" w:customStyle="1" w:styleId="51">
    <w:name w:val="纯文本 字符"/>
    <w:link w:val="18"/>
    <w:autoRedefine/>
    <w:qFormat/>
    <w:uiPriority w:val="0"/>
    <w:rPr>
      <w:rFonts w:ascii="宋体" w:hAnsi="Courier New" w:eastAsia="华文宋体"/>
      <w:kern w:val="2"/>
      <w:sz w:val="28"/>
    </w:rPr>
  </w:style>
  <w:style w:type="character" w:customStyle="1" w:styleId="52">
    <w:name w:val="批注框文本 字符"/>
    <w:link w:val="19"/>
    <w:autoRedefine/>
    <w:qFormat/>
    <w:uiPriority w:val="0"/>
    <w:rPr>
      <w:kern w:val="2"/>
      <w:sz w:val="18"/>
      <w:szCs w:val="18"/>
    </w:rPr>
  </w:style>
  <w:style w:type="character" w:customStyle="1" w:styleId="53">
    <w:name w:val="页脚 字符"/>
    <w:link w:val="20"/>
    <w:autoRedefine/>
    <w:qFormat/>
    <w:uiPriority w:val="0"/>
    <w:rPr>
      <w:kern w:val="2"/>
      <w:sz w:val="18"/>
      <w:szCs w:val="18"/>
    </w:rPr>
  </w:style>
  <w:style w:type="character" w:customStyle="1" w:styleId="54">
    <w:name w:val="页眉 字符"/>
    <w:link w:val="22"/>
    <w:autoRedefine/>
    <w:qFormat/>
    <w:uiPriority w:val="0"/>
    <w:rPr>
      <w:kern w:val="2"/>
      <w:sz w:val="18"/>
      <w:szCs w:val="18"/>
    </w:rPr>
  </w:style>
  <w:style w:type="character" w:customStyle="1" w:styleId="55">
    <w:name w:val="HTML 预设格式 字符"/>
    <w:link w:val="27"/>
    <w:autoRedefine/>
    <w:qFormat/>
    <w:uiPriority w:val="99"/>
    <w:rPr>
      <w:rFonts w:ascii="宋体" w:hAnsi="宋体" w:cs="宋体"/>
      <w:sz w:val="24"/>
      <w:szCs w:val="24"/>
    </w:rPr>
  </w:style>
  <w:style w:type="character" w:customStyle="1" w:styleId="56">
    <w:name w:val="批注主题 字符"/>
    <w:link w:val="29"/>
    <w:autoRedefine/>
    <w:qFormat/>
    <w:uiPriority w:val="0"/>
    <w:rPr>
      <w:b/>
      <w:bCs/>
      <w:kern w:val="2"/>
      <w:sz w:val="21"/>
      <w:szCs w:val="24"/>
    </w:rPr>
  </w:style>
  <w:style w:type="character" w:customStyle="1" w:styleId="57">
    <w:name w:val="font21"/>
    <w:autoRedefine/>
    <w:qFormat/>
    <w:uiPriority w:val="0"/>
    <w:rPr>
      <w:rFonts w:hint="eastAsia" w:ascii="宋体" w:hAnsi="宋体" w:eastAsia="宋体" w:cs="宋体"/>
      <w:color w:val="000000"/>
      <w:sz w:val="21"/>
      <w:szCs w:val="21"/>
      <w:u w:val="none"/>
    </w:rPr>
  </w:style>
  <w:style w:type="character" w:customStyle="1" w:styleId="58">
    <w:name w:val="p12gray"/>
    <w:autoRedefine/>
    <w:qFormat/>
    <w:uiPriority w:val="0"/>
    <w:rPr>
      <w:rFonts w:hint="default" w:ascii="Times New Roman" w:hAnsi="Times New Roman" w:cs="Times New Roman"/>
    </w:rPr>
  </w:style>
  <w:style w:type="character" w:customStyle="1" w:styleId="59">
    <w:name w:val="font41"/>
    <w:autoRedefine/>
    <w:qFormat/>
    <w:uiPriority w:val="0"/>
    <w:rPr>
      <w:rFonts w:hint="default" w:ascii="Times New Roman" w:hAnsi="Times New Roman" w:cs="Times New Roman"/>
      <w:color w:val="000000"/>
      <w:sz w:val="21"/>
      <w:szCs w:val="21"/>
      <w:u w:val="none"/>
    </w:rPr>
  </w:style>
  <w:style w:type="character" w:customStyle="1" w:styleId="60">
    <w:name w:val="列表段落 字符"/>
    <w:link w:val="61"/>
    <w:autoRedefine/>
    <w:qFormat/>
    <w:locked/>
    <w:uiPriority w:val="0"/>
    <w:rPr>
      <w:kern w:val="2"/>
      <w:sz w:val="21"/>
      <w:szCs w:val="24"/>
    </w:rPr>
  </w:style>
  <w:style w:type="paragraph" w:customStyle="1" w:styleId="61">
    <w:name w:val="列表段落1"/>
    <w:basedOn w:val="1"/>
    <w:link w:val="60"/>
    <w:autoRedefine/>
    <w:qFormat/>
    <w:uiPriority w:val="0"/>
    <w:pPr>
      <w:ind w:firstLine="420" w:firstLineChars="200"/>
    </w:pPr>
  </w:style>
  <w:style w:type="character" w:customStyle="1" w:styleId="62">
    <w:name w:val="纯文本 Char"/>
    <w:autoRedefine/>
    <w:qFormat/>
    <w:uiPriority w:val="0"/>
    <w:rPr>
      <w:rFonts w:ascii="宋体" w:hAnsi="Courier New" w:cs="Courier New"/>
      <w:kern w:val="2"/>
      <w:sz w:val="21"/>
      <w:szCs w:val="21"/>
    </w:rPr>
  </w:style>
  <w:style w:type="paragraph" w:customStyle="1" w:styleId="63">
    <w:name w:val="样式1"/>
    <w:basedOn w:val="1"/>
    <w:autoRedefine/>
    <w:qFormat/>
    <w:uiPriority w:val="0"/>
    <w:pPr>
      <w:overflowPunct w:val="0"/>
      <w:adjustRightInd w:val="0"/>
      <w:snapToGrid w:val="0"/>
      <w:spacing w:line="360" w:lineRule="auto"/>
      <w:jc w:val="center"/>
    </w:pPr>
    <w:rPr>
      <w:rFonts w:ascii="黑体" w:eastAsia="黑体"/>
      <w:kern w:val="0"/>
      <w:szCs w:val="20"/>
    </w:rPr>
  </w:style>
  <w:style w:type="paragraph" w:customStyle="1" w:styleId="64">
    <w:name w:val="标号"/>
    <w:basedOn w:val="1"/>
    <w:autoRedefine/>
    <w:qFormat/>
    <w:uiPriority w:val="0"/>
    <w:pPr>
      <w:spacing w:line="360" w:lineRule="auto"/>
    </w:pPr>
    <w:rPr>
      <w:rFonts w:ascii="宋体" w:hAnsi="宋体"/>
      <w:sz w:val="24"/>
      <w:szCs w:val="20"/>
    </w:rPr>
  </w:style>
  <w:style w:type="paragraph" w:customStyle="1" w:styleId="65">
    <w:name w:val="列出段落1"/>
    <w:basedOn w:val="1"/>
    <w:autoRedefine/>
    <w:qFormat/>
    <w:uiPriority w:val="0"/>
    <w:pPr>
      <w:spacing w:line="360" w:lineRule="auto"/>
      <w:ind w:firstLine="420" w:firstLineChars="200"/>
    </w:pPr>
    <w:rPr>
      <w:rFonts w:ascii="Calibri" w:hAnsi="Calibri" w:eastAsia="仿宋"/>
      <w:sz w:val="28"/>
      <w:szCs w:val="22"/>
    </w:rPr>
  </w:style>
  <w:style w:type="paragraph" w:customStyle="1" w:styleId="66">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7">
    <w:name w:val="1正文"/>
    <w:basedOn w:val="1"/>
    <w:autoRedefine/>
    <w:qFormat/>
    <w:uiPriority w:val="0"/>
    <w:pPr>
      <w:spacing w:line="360" w:lineRule="auto"/>
      <w:ind w:firstLine="480" w:firstLineChars="200"/>
    </w:pPr>
    <w:rPr>
      <w:rFonts w:ascii="宋体" w:hAnsi="宋体"/>
      <w:sz w:val="24"/>
      <w:szCs w:val="22"/>
    </w:rPr>
  </w:style>
  <w:style w:type="paragraph" w:customStyle="1" w:styleId="68">
    <w:name w:val="Table Paragraph"/>
    <w:basedOn w:val="1"/>
    <w:autoRedefine/>
    <w:qFormat/>
    <w:uiPriority w:val="0"/>
    <w:pPr>
      <w:jc w:val="left"/>
    </w:pPr>
    <w:rPr>
      <w:rFonts w:eastAsia="Calibri"/>
      <w:kern w:val="0"/>
      <w:sz w:val="22"/>
      <w:szCs w:val="22"/>
      <w:lang w:eastAsia="en-US"/>
    </w:rPr>
  </w:style>
  <w:style w:type="paragraph" w:customStyle="1" w:styleId="6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70">
    <w:name w:val="Table Normal"/>
    <w:autoRedefine/>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71">
    <w:name w:val="_Style 3"/>
    <w:basedOn w:val="1"/>
    <w:autoRedefine/>
    <w:qFormat/>
    <w:uiPriority w:val="0"/>
    <w:rPr>
      <w:rFonts w:ascii="Calibri" w:hAnsi="Calibri"/>
      <w:szCs w:val="21"/>
    </w:rPr>
  </w:style>
  <w:style w:type="paragraph" w:customStyle="1" w:styleId="72">
    <w:name w:val="无序列表"/>
    <w:basedOn w:val="1"/>
    <w:autoRedefine/>
    <w:qFormat/>
    <w:uiPriority w:val="0"/>
    <w:pPr>
      <w:numPr>
        <w:ilvl w:val="0"/>
        <w:numId w:val="1"/>
      </w:numPr>
      <w:ind w:left="0" w:firstLine="200" w:firstLineChars="200"/>
    </w:pPr>
    <w:rPr>
      <w:rFonts w:eastAsia="华文中宋"/>
    </w:rPr>
  </w:style>
  <w:style w:type="paragraph" w:customStyle="1" w:styleId="73">
    <w:name w:val="正文 清众鑫"/>
    <w:basedOn w:val="1"/>
    <w:autoRedefine/>
    <w:qFormat/>
    <w:uiPriority w:val="0"/>
    <w:pPr>
      <w:snapToGrid w:val="0"/>
      <w:ind w:firstLine="200" w:firstLineChars="200"/>
    </w:pPr>
    <w:rPr>
      <w:rFonts w:ascii="华文中宋" w:hAnsi="华文中宋" w:eastAsia="华文中宋" w:cs="仿宋"/>
    </w:rPr>
  </w:style>
  <w:style w:type="paragraph" w:customStyle="1" w:styleId="74">
    <w:name w:val="普通(网站)1"/>
    <w:basedOn w:val="1"/>
    <w:autoRedefine/>
    <w:qFormat/>
    <w:uiPriority w:val="0"/>
    <w:pPr>
      <w:widowControl/>
      <w:spacing w:beforeAutospacing="1" w:afterAutospacing="1"/>
      <w:jc w:val="left"/>
    </w:pPr>
    <w:rPr>
      <w:rFonts w:ascii="宋体" w:hAnsi="宋体" w:cs="宋体"/>
      <w:kern w:val="0"/>
      <w:sz w:val="24"/>
    </w:rPr>
  </w:style>
  <w:style w:type="paragraph" w:styleId="75">
    <w:name w:val="List Paragraph"/>
    <w:basedOn w:val="1"/>
    <w:autoRedefine/>
    <w:qFormat/>
    <w:uiPriority w:val="0"/>
    <w:pPr>
      <w:ind w:firstLine="420" w:firstLineChars="200"/>
    </w:pPr>
  </w:style>
  <w:style w:type="character" w:customStyle="1" w:styleId="76">
    <w:name w:val="font31"/>
    <w:basedOn w:val="33"/>
    <w:autoRedefine/>
    <w:qFormat/>
    <w:uiPriority w:val="0"/>
    <w:rPr>
      <w:rFonts w:hint="default" w:ascii="Times New Roman" w:hAnsi="Times New Roman" w:cs="Times New Roman"/>
      <w:color w:val="000000"/>
      <w:sz w:val="32"/>
      <w:szCs w:val="32"/>
      <w:u w:val="none"/>
    </w:rPr>
  </w:style>
  <w:style w:type="character" w:customStyle="1" w:styleId="77">
    <w:name w:val="font11"/>
    <w:basedOn w:val="33"/>
    <w:autoRedefine/>
    <w:qFormat/>
    <w:uiPriority w:val="0"/>
    <w:rPr>
      <w:rFonts w:hint="eastAsia" w:ascii="宋体" w:hAnsi="宋体" w:eastAsia="宋体" w:cs="宋体"/>
      <w:color w:val="000000"/>
      <w:sz w:val="32"/>
      <w:szCs w:val="32"/>
      <w:u w:val="none"/>
    </w:rPr>
  </w:style>
  <w:style w:type="character" w:customStyle="1" w:styleId="78">
    <w:name w:val="font51"/>
    <w:basedOn w:val="33"/>
    <w:autoRedefine/>
    <w:qFormat/>
    <w:uiPriority w:val="0"/>
    <w:rPr>
      <w:rFonts w:hint="default" w:ascii="Times New Roman" w:hAnsi="Times New Roman" w:cs="Times New Roman"/>
      <w:color w:val="000000"/>
      <w:sz w:val="32"/>
      <w:szCs w:val="32"/>
      <w:u w:val="none"/>
      <w:vertAlign w:val="subscript"/>
    </w:rPr>
  </w:style>
  <w:style w:type="character" w:customStyle="1" w:styleId="79">
    <w:name w:val="font61"/>
    <w:basedOn w:val="33"/>
    <w:autoRedefine/>
    <w:qFormat/>
    <w:uiPriority w:val="0"/>
    <w:rPr>
      <w:rFonts w:hint="eastAsia" w:ascii="宋体" w:hAnsi="宋体" w:eastAsia="宋体" w:cs="宋体"/>
      <w:color w:val="000000"/>
      <w:sz w:val="32"/>
      <w:szCs w:val="32"/>
      <w:u w:val="none"/>
      <w:vertAlign w:val="subscript"/>
    </w:rPr>
  </w:style>
  <w:style w:type="character" w:customStyle="1" w:styleId="80">
    <w:name w:val="font71"/>
    <w:basedOn w:val="33"/>
    <w:autoRedefine/>
    <w:qFormat/>
    <w:uiPriority w:val="0"/>
    <w:rPr>
      <w:rFonts w:hint="default" w:ascii="Times New Roman" w:hAnsi="Times New Roman" w:cs="Times New Roman"/>
      <w:color w:val="000000"/>
      <w:sz w:val="32"/>
      <w:szCs w:val="32"/>
      <w:u w:val="none"/>
      <w:vertAlign w:val="superscript"/>
    </w:rPr>
  </w:style>
  <w:style w:type="character" w:customStyle="1" w:styleId="81">
    <w:name w:val="font81"/>
    <w:basedOn w:val="33"/>
    <w:autoRedefine/>
    <w:qFormat/>
    <w:uiPriority w:val="0"/>
    <w:rPr>
      <w:rFonts w:hint="eastAsia" w:ascii="宋体" w:hAnsi="宋体" w:eastAsia="宋体" w:cs="宋体"/>
      <w:color w:val="000000"/>
      <w:sz w:val="32"/>
      <w:szCs w:val="32"/>
      <w:u w:val="none"/>
      <w:vertAlign w:val="superscript"/>
    </w:rPr>
  </w:style>
  <w:style w:type="character" w:customStyle="1" w:styleId="82">
    <w:name w:val="font91"/>
    <w:basedOn w:val="33"/>
    <w:autoRedefine/>
    <w:qFormat/>
    <w:uiPriority w:val="0"/>
    <w:rPr>
      <w:rFonts w:hint="eastAsia" w:ascii="宋体" w:hAnsi="宋体" w:eastAsia="宋体" w:cs="宋体"/>
      <w:b/>
      <w:bCs/>
      <w:color w:val="FF0000"/>
      <w:sz w:val="32"/>
      <w:szCs w:val="32"/>
      <w:u w:val="none"/>
      <w:vertAlign w:val="superscript"/>
    </w:rPr>
  </w:style>
  <w:style w:type="character" w:customStyle="1" w:styleId="83">
    <w:name w:val="font101"/>
    <w:basedOn w:val="33"/>
    <w:autoRedefine/>
    <w:qFormat/>
    <w:uiPriority w:val="0"/>
    <w:rPr>
      <w:rFonts w:hint="eastAsia" w:ascii="宋体" w:hAnsi="宋体" w:eastAsia="宋体" w:cs="宋体"/>
      <w:b/>
      <w:bCs/>
      <w:color w:val="FF0000"/>
      <w:sz w:val="32"/>
      <w:szCs w:val="32"/>
      <w:u w:val="none"/>
      <w:vertAlign w:val="subscript"/>
    </w:rPr>
  </w:style>
  <w:style w:type="character" w:customStyle="1" w:styleId="84">
    <w:name w:val="font112"/>
    <w:basedOn w:val="33"/>
    <w:autoRedefine/>
    <w:qFormat/>
    <w:uiPriority w:val="0"/>
    <w:rPr>
      <w:rFonts w:hint="default" w:ascii="Arial" w:hAnsi="Arial" w:cs="Arial"/>
      <w:b/>
      <w:bCs/>
      <w:color w:val="FF0000"/>
      <w:sz w:val="20"/>
      <w:szCs w:val="20"/>
      <w:u w:val="none"/>
    </w:rPr>
  </w:style>
  <w:style w:type="character" w:customStyle="1" w:styleId="85">
    <w:name w:val="font121"/>
    <w:basedOn w:val="33"/>
    <w:autoRedefine/>
    <w:qFormat/>
    <w:uiPriority w:val="0"/>
    <w:rPr>
      <w:rFonts w:hint="default" w:ascii="Arial" w:hAnsi="Arial" w:cs="Arial"/>
      <w:b/>
      <w:bCs/>
      <w:color w:val="FF0000"/>
      <w:sz w:val="20"/>
      <w:szCs w:val="20"/>
      <w:u w:val="none"/>
      <w:vertAlign w:val="superscript"/>
    </w:rPr>
  </w:style>
  <w:style w:type="character" w:customStyle="1" w:styleId="86">
    <w:name w:val="font131"/>
    <w:basedOn w:val="33"/>
    <w:autoRedefine/>
    <w:qFormat/>
    <w:uiPriority w:val="0"/>
    <w:rPr>
      <w:rFonts w:hint="eastAsia" w:ascii="宋体" w:hAnsi="宋体" w:eastAsia="宋体" w:cs="宋体"/>
      <w:b/>
      <w:bCs/>
      <w:color w:val="FF0000"/>
      <w:sz w:val="20"/>
      <w:szCs w:val="20"/>
      <w:u w:val="none"/>
      <w:vertAlign w:val="superscript"/>
    </w:rPr>
  </w:style>
  <w:style w:type="character" w:customStyle="1" w:styleId="87">
    <w:name w:val="font141"/>
    <w:basedOn w:val="33"/>
    <w:autoRedefine/>
    <w:qFormat/>
    <w:uiPriority w:val="0"/>
    <w:rPr>
      <w:rFonts w:hint="default" w:ascii="Arial" w:hAnsi="Arial" w:cs="Arial"/>
      <w:color w:val="000000"/>
      <w:sz w:val="20"/>
      <w:szCs w:val="20"/>
      <w:u w:val="none"/>
      <w:vertAlign w:val="subscript"/>
    </w:rPr>
  </w:style>
  <w:style w:type="character" w:customStyle="1" w:styleId="88">
    <w:name w:val="font151"/>
    <w:basedOn w:val="33"/>
    <w:autoRedefine/>
    <w:qFormat/>
    <w:uiPriority w:val="0"/>
    <w:rPr>
      <w:rFonts w:hint="default" w:ascii="Times New Roman" w:hAnsi="Times New Roman" w:cs="Times New Roman"/>
      <w:color w:val="000000"/>
      <w:sz w:val="20"/>
      <w:szCs w:val="20"/>
      <w:u w:val="none"/>
    </w:rPr>
  </w:style>
  <w:style w:type="character" w:customStyle="1" w:styleId="89">
    <w:name w:val="font161"/>
    <w:basedOn w:val="33"/>
    <w:autoRedefine/>
    <w:qFormat/>
    <w:uiPriority w:val="0"/>
    <w:rPr>
      <w:rFonts w:hint="default" w:ascii="Arial" w:hAnsi="Arial" w:cs="Arial"/>
      <w:b/>
      <w:bCs/>
      <w:color w:val="000000"/>
      <w:sz w:val="20"/>
      <w:szCs w:val="20"/>
      <w:u w:val="none"/>
    </w:rPr>
  </w:style>
  <w:style w:type="character" w:customStyle="1" w:styleId="90">
    <w:name w:val="font171"/>
    <w:basedOn w:val="33"/>
    <w:autoRedefine/>
    <w:qFormat/>
    <w:uiPriority w:val="0"/>
    <w:rPr>
      <w:rFonts w:hint="default" w:ascii="Arial" w:hAnsi="Arial" w:cs="Arial"/>
      <w:color w:val="000000"/>
      <w:sz w:val="20"/>
      <w:szCs w:val="20"/>
      <w:u w:val="none"/>
    </w:rPr>
  </w:style>
  <w:style w:type="character" w:customStyle="1" w:styleId="91">
    <w:name w:val="font181"/>
    <w:basedOn w:val="33"/>
    <w:autoRedefine/>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DaDiGhost.Com</Company>
  <Pages>44</Pages>
  <Words>3807</Words>
  <Characters>21706</Characters>
  <Lines>180</Lines>
  <Paragraphs>50</Paragraphs>
  <TotalTime>35</TotalTime>
  <ScaleCrop>false</ScaleCrop>
  <LinksUpToDate>false</LinksUpToDate>
  <CharactersWithSpaces>25463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2022-08-11T07:34:00Z</dcterms:created>
  <dc:creator>WLB</dc:creator>
  <cp:lastModifiedBy>刘鹏</cp:lastModifiedBy>
  <cp:lastPrinted>2024-04-09T08:49:00Z</cp:lastPrinted>
  <dcterms:modified xsi:type="dcterms:W3CDTF">2024-04-11T12:26:41Z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0983540BCC2F456BA06BFEDD6B1E2138_13</vt:lpwstr>
  </property>
</Properties>
</file>